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pStyle w:val="5"/>
        <w:rPr>
          <w:rFonts w:hint="default"/>
        </w:rPr>
      </w:pP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eastAsia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西安秦灞加油站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t>项目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  <w:lang w:eastAsia="zh-CN"/>
        </w:rPr>
        <w:t>竣工</w:t>
      </w: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环境保护</w:t>
      </w: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color w:val="auto"/>
          <w:sz w:val="72"/>
          <w:szCs w:val="72"/>
          <w:lang w:val="en-US" w:eastAsia="zh-CN"/>
        </w:rPr>
      </w:pPr>
      <w:r>
        <w:rPr>
          <w:rFonts w:hint="default" w:cs="Times New Roman"/>
          <w:b/>
          <w:color w:val="auto"/>
          <w:sz w:val="44"/>
          <w:szCs w:val="44"/>
          <w:lang w:val="en-US" w:eastAsia="zh-CN"/>
        </w:rPr>
        <w:t>验收监测报告</w:t>
      </w:r>
    </w:p>
    <w:p>
      <w:pPr>
        <w:pStyle w:val="2"/>
        <w:jc w:val="center"/>
        <w:rPr>
          <w:rFonts w:hint="eastAsia" w:ascii="Times New Roman" w:hAnsi="Times New Roman" w:cs="Times New Roman" w:eastAsiaTheme="minorEastAsia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0" w:name="_Toc6676"/>
      <w:r>
        <w:rPr>
          <w:rFonts w:hint="eastAsia" w:ascii="Times New Roman" w:hAnsi="Times New Roman" w:cs="Times New Roman" w:eastAsiaTheme="minorEastAsia"/>
          <w:b/>
          <w:bCs w:val="0"/>
          <w:color w:val="auto"/>
          <w:kern w:val="2"/>
          <w:sz w:val="28"/>
          <w:szCs w:val="28"/>
          <w:lang w:val="en-US" w:eastAsia="zh-CN" w:bidi="ar-SA"/>
        </w:rPr>
        <w:t>（噪声和固废）</w:t>
      </w:r>
      <w:bookmarkEnd w:id="0"/>
    </w:p>
    <w:p>
      <w:pPr>
        <w:spacing w:before="120" w:line="0" w:lineRule="atLeast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瑞境监（验）字（201</w:t>
      </w:r>
      <w:r>
        <w:rPr>
          <w:rFonts w:hint="eastAsia" w:cs="Times New Roman"/>
          <w:b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）第</w:t>
      </w:r>
      <w:r>
        <w:rPr>
          <w:rFonts w:hint="eastAsia" w:cs="Times New Roman"/>
          <w:b/>
          <w:color w:val="auto"/>
          <w:sz w:val="28"/>
          <w:szCs w:val="28"/>
          <w:lang w:val="en-US" w:eastAsia="zh-CN"/>
        </w:rPr>
        <w:t>005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号</w:t>
      </w:r>
    </w:p>
    <w:p>
      <w:pPr>
        <w:spacing w:before="120" w:line="0" w:lineRule="atLeast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spacing w:before="120" w:line="0" w:lineRule="atLeast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spacing w:before="120" w:line="0" w:lineRule="atLeast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       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zh-CN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tbl>
      <w:tblPr>
        <w:tblStyle w:val="14"/>
        <w:tblW w:w="637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464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2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建设单位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zh-CN"/>
              </w:rPr>
              <w:t>：</w:t>
            </w:r>
          </w:p>
        </w:tc>
        <w:tc>
          <w:tcPr>
            <w:tcW w:w="464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u w:val="none"/>
                <w:lang w:val="en-US" w:eastAsia="zh-CN"/>
              </w:rPr>
              <w:t>西安秦灞加油站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编制单位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zh-CN"/>
              </w:rPr>
              <w:t>：</w:t>
            </w:r>
          </w:p>
        </w:tc>
        <w:tc>
          <w:tcPr>
            <w:tcW w:w="464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u w:val="none"/>
                <w:lang w:val="en-US" w:eastAsia="zh-CN"/>
              </w:rPr>
              <w:t>陕西瑞境检测技术有限公司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default" w:cs="Times New Roman"/>
          <w:color w:val="auto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default" w:cs="Times New Roman"/>
          <w:color w:val="auto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default" w:cs="Times New Roman"/>
          <w:color w:val="auto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default" w:cs="Times New Roman"/>
          <w:color w:val="auto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default" w:cs="Times New Roman"/>
          <w:color w:val="auto"/>
          <w:sz w:val="28"/>
          <w:szCs w:val="28"/>
          <w:lang w:eastAsia="zh-CN"/>
        </w:rPr>
      </w:pPr>
      <w:r>
        <w:rPr>
          <w:rFonts w:hint="default" w:cs="Times New Roman"/>
          <w:color w:val="auto"/>
          <w:sz w:val="28"/>
          <w:szCs w:val="28"/>
          <w:lang w:eastAsia="zh-CN"/>
        </w:rPr>
        <w:t>二〇一</w:t>
      </w:r>
      <w:r>
        <w:rPr>
          <w:rFonts w:hint="default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cs="Times New Roman"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cs="Times New Roman"/>
          <w:color w:val="auto"/>
          <w:sz w:val="28"/>
          <w:szCs w:val="28"/>
          <w:lang w:eastAsia="zh-CN"/>
        </w:rPr>
        <w:t>月</w:t>
      </w:r>
    </w:p>
    <w:p>
      <w:pPr>
        <w:spacing w:line="360" w:lineRule="auto"/>
        <w:jc w:val="center"/>
        <w:rPr>
          <w:rFonts w:hint="default" w:cs="Times New Roman"/>
          <w:color w:val="auto"/>
          <w:sz w:val="28"/>
          <w:szCs w:val="28"/>
          <w:lang w:eastAsia="zh-CN"/>
        </w:rPr>
        <w:sectPr>
          <w:headerReference r:id="rId3" w:type="default"/>
          <w:pgSz w:w="11906" w:h="16838"/>
          <w:pgMar w:top="1440" w:right="1556" w:bottom="1091" w:left="15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ind w:left="0" w:leftChars="0" w:firstLine="0" w:firstLineChars="0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建设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单位：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西安秦灞加油站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法人代表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</w:p>
    <w:p>
      <w:pPr>
        <w:pStyle w:val="2"/>
        <w:rPr>
          <w:rFonts w:hint="default"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编制单位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陕西瑞境检测技术有限公司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法人代表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： 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项目负责人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： </w:t>
      </w: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建设单位                    编制单位</w:t>
      </w:r>
    </w:p>
    <w:p>
      <w:pPr>
        <w:spacing w:line="360" w:lineRule="auto"/>
        <w:ind w:left="0" w:leftChars="0" w:firstLine="0" w:firstLineChars="0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 xml:space="preserve">电话：029-83614577          电话：029-86302331          </w:t>
      </w:r>
    </w:p>
    <w:p>
      <w:pPr>
        <w:spacing w:line="360" w:lineRule="auto"/>
        <w:ind w:left="0" w:leftChars="0" w:firstLine="0" w:firstLineChars="0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传真：     /                传真：029-86302331</w:t>
      </w:r>
    </w:p>
    <w:p>
      <w:pPr>
        <w:spacing w:line="360" w:lineRule="auto"/>
        <w:ind w:left="0" w:leftChars="0" w:firstLine="0" w:firstLineChars="0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邮编：710038                邮编：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710021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地址：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 xml:space="preserve">西安市灞桥区新合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地址：西安市未央区建设路佳隆庄园C12</w:t>
      </w:r>
    </w:p>
    <w:p>
      <w:pPr>
        <w:spacing w:line="360" w:lineRule="auto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街办宋家滩村村口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 xml:space="preserve">                       </w:t>
      </w:r>
    </w:p>
    <w:p>
      <w:pPr>
        <w:pStyle w:val="8"/>
        <w:tabs>
          <w:tab w:val="right" w:leader="dot" w:pos="8306"/>
        </w:tabs>
        <w:spacing w:line="60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>
      <w:pPr>
        <w:pStyle w:val="8"/>
        <w:tabs>
          <w:tab w:val="right" w:leader="dot" w:pos="8306"/>
        </w:tabs>
        <w:spacing w:line="600" w:lineRule="auto"/>
        <w:jc w:val="center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8"/>
        <w:tabs>
          <w:tab w:val="right" w:leader="dot" w:pos="8306"/>
        </w:tabs>
        <w:spacing w:line="600" w:lineRule="auto"/>
        <w:jc w:val="center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8"/>
        <w:tabs>
          <w:tab w:val="right" w:leader="dot" w:pos="8306"/>
        </w:tabs>
        <w:spacing w:line="600" w:lineRule="auto"/>
        <w:jc w:val="center"/>
      </w:pPr>
      <w:r>
        <w:rPr>
          <w:rFonts w:hint="default" w:ascii="Times New Roman" w:hAnsi="Times New Roman" w:cs="Times New Roman"/>
          <w:color w:val="auto"/>
          <w:sz w:val="24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目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录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instrText xml:space="preserve">TOC \o "1-2" \h \u </w:instrTex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fldChar w:fldCharType="separate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_Toc2956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/>
          <w:lang w:val="en-US" w:eastAsia="zh-CN"/>
        </w:rPr>
        <w:t>1.</w:t>
      </w:r>
      <w:r>
        <w:rPr>
          <w:rFonts w:hint="default"/>
        </w:rPr>
        <w:t>前言</w:t>
      </w:r>
      <w:r>
        <w:tab/>
      </w:r>
      <w:r>
        <w:fldChar w:fldCharType="begin"/>
      </w:r>
      <w:r>
        <w:instrText xml:space="preserve"> PAGEREF _Toc2956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_Toc5111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2.</w:t>
      </w:r>
      <w:r>
        <w:rPr>
          <w:rFonts w:hint="default" w:ascii="Times New Roman" w:hAnsi="Times New Roman"/>
          <w:lang w:val="en-US" w:eastAsia="zh-CN"/>
        </w:rPr>
        <w:t>验收监测依据</w:t>
      </w:r>
      <w:r>
        <w:tab/>
      </w:r>
      <w:r>
        <w:fldChar w:fldCharType="begin"/>
      </w:r>
      <w:r>
        <w:instrText xml:space="preserve"> PAGEREF _Toc5111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_Toc31406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2.1</w:t>
      </w:r>
      <w:r>
        <w:rPr>
          <w:rFonts w:hint="default" w:ascii="Times New Roman" w:hAnsi="Times New Roman"/>
          <w:lang w:val="en-US" w:eastAsia="zh-CN"/>
        </w:rPr>
        <w:t xml:space="preserve"> 验收依据</w:t>
      </w:r>
      <w:r>
        <w:tab/>
      </w:r>
      <w:r>
        <w:fldChar w:fldCharType="begin"/>
      </w:r>
      <w:r>
        <w:instrText xml:space="preserve"> PAGEREF _Toc31406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_Toc15606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3.</w:t>
      </w:r>
      <w:r>
        <w:rPr>
          <w:rFonts w:hint="default" w:ascii="Times New Roman" w:hAnsi="Times New Roman"/>
          <w:lang w:val="en-US" w:eastAsia="zh-CN"/>
        </w:rPr>
        <w:t>项目概况</w:t>
      </w:r>
      <w:r>
        <w:tab/>
      </w:r>
      <w:r>
        <w:fldChar w:fldCharType="begin"/>
      </w:r>
      <w:r>
        <w:instrText xml:space="preserve"> PAGEREF _Toc15606 </w:instrText>
      </w:r>
      <w:r>
        <w:fldChar w:fldCharType="separate"/>
      </w:r>
      <w:r>
        <w:t>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_Toc14213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3.</w:t>
      </w:r>
      <w:r>
        <w:rPr>
          <w:rFonts w:hint="default" w:ascii="Times New Roman" w:hAnsi="Times New Roman"/>
          <w:lang w:val="en-US" w:eastAsia="zh-CN"/>
        </w:rPr>
        <w:t>1 项目概况</w:t>
      </w:r>
      <w:r>
        <w:tab/>
      </w:r>
      <w:r>
        <w:fldChar w:fldCharType="begin"/>
      </w:r>
      <w:r>
        <w:instrText xml:space="preserve"> PAGEREF _Toc14213 </w:instrText>
      </w:r>
      <w:r>
        <w:fldChar w:fldCharType="separate"/>
      </w:r>
      <w:r>
        <w:t>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_Toc10977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default" w:ascii="Times New Roman" w:hAnsi="Times New Roman"/>
          <w:lang w:val="en-US" w:eastAsia="zh-CN"/>
        </w:rPr>
        <w:t>.2</w:t>
      </w:r>
      <w:r>
        <w:rPr>
          <w:rFonts w:hint="eastAsia" w:ascii="Times New Roman" w:hAnsi="Times New Roman"/>
          <w:lang w:val="en-US" w:eastAsia="zh-CN"/>
        </w:rPr>
        <w:t>项目</w:t>
      </w:r>
      <w:r>
        <w:rPr>
          <w:rFonts w:hint="eastAsia"/>
          <w:lang w:val="en-US" w:eastAsia="zh-CN"/>
        </w:rPr>
        <w:t>主要组成</w:t>
      </w:r>
      <w:r>
        <w:tab/>
      </w:r>
      <w:r>
        <w:rPr>
          <w:rFonts w:hint="eastAsia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_Toc13715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3.3</w:t>
      </w:r>
      <w:r>
        <w:rPr>
          <w:rFonts w:hint="default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生产工艺</w:t>
      </w:r>
      <w:r>
        <w:tab/>
      </w:r>
      <w:r>
        <w:fldChar w:fldCharType="begin"/>
      </w:r>
      <w:r>
        <w:instrText xml:space="preserve"> PAGEREF _Toc13715 </w:instrText>
      </w:r>
      <w:r>
        <w:fldChar w:fldCharType="separate"/>
      </w:r>
      <w:r>
        <w:t>6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_Toc4340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3.4工程变更情况</w:t>
      </w:r>
      <w:r>
        <w:tab/>
      </w:r>
      <w:r>
        <w:fldChar w:fldCharType="begin"/>
      </w:r>
      <w:r>
        <w:instrText xml:space="preserve"> PAGEREF _Toc4340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_Toc24596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4.环境保护措施</w:t>
      </w:r>
      <w:r>
        <w:tab/>
      </w:r>
      <w:r>
        <w:fldChar w:fldCharType="begin"/>
      </w:r>
      <w:r>
        <w:instrText xml:space="preserve"> PAGEREF _Toc24596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_Toc13480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4.1污染物处置措施</w:t>
      </w:r>
      <w:r>
        <w:tab/>
      </w:r>
      <w:r>
        <w:fldChar w:fldCharType="begin"/>
      </w:r>
      <w:r>
        <w:instrText xml:space="preserve"> PAGEREF _Toc13480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_Toc2420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4.2其他环保设施</w:t>
      </w:r>
      <w:r>
        <w:tab/>
      </w:r>
      <w:r>
        <w:fldChar w:fldCharType="begin"/>
      </w:r>
      <w:r>
        <w:instrText xml:space="preserve"> PAGEREF _Toc2420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_Toc15964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4.3环保设施投资及“三同时”落实情况</w:t>
      </w:r>
      <w:r>
        <w:tab/>
      </w:r>
      <w:r>
        <w:fldChar w:fldCharType="begin"/>
      </w:r>
      <w:r>
        <w:instrText xml:space="preserve"> PAGEREF _Toc15964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_Toc474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5.建设项目环评报告书的主要结论与建设及审批部门审批决定</w:t>
      </w:r>
      <w:r>
        <w:tab/>
      </w:r>
      <w:r>
        <w:fldChar w:fldCharType="begin"/>
      </w:r>
      <w:r>
        <w:instrText xml:space="preserve"> PAGEREF _Toc474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_Toc3431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5.</w:t>
      </w:r>
      <w:r>
        <w:rPr>
          <w:rFonts w:hint="default" w:ascii="Times New Roman" w:hAnsi="Times New Roman"/>
          <w:lang w:val="en-US" w:eastAsia="zh-CN"/>
        </w:rPr>
        <w:t xml:space="preserve">1 </w:t>
      </w:r>
      <w:r>
        <w:rPr>
          <w:rFonts w:hint="eastAsia" w:ascii="Times New Roman" w:hAnsi="Times New Roman"/>
          <w:lang w:val="en-US" w:eastAsia="zh-CN"/>
        </w:rPr>
        <w:t>建设项目环评报告书的主要意见与建议</w:t>
      </w:r>
      <w:r>
        <w:tab/>
      </w:r>
      <w:r>
        <w:fldChar w:fldCharType="begin"/>
      </w:r>
      <w:r>
        <w:instrText xml:space="preserve"> PAGEREF _Toc3431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_Toc18210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5.2审批部门审批决定</w:t>
      </w:r>
      <w:r>
        <w:tab/>
      </w:r>
      <w:r>
        <w:fldChar w:fldCharType="begin"/>
      </w:r>
      <w:r>
        <w:instrText xml:space="preserve"> PAGEREF _Toc18210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_Toc2617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6.</w:t>
      </w:r>
      <w:r>
        <w:rPr>
          <w:rFonts w:hint="default" w:ascii="Times New Roman" w:hAnsi="Times New Roman"/>
          <w:lang w:val="en-US" w:eastAsia="zh-CN"/>
        </w:rPr>
        <w:t xml:space="preserve"> 验收</w:t>
      </w:r>
      <w:r>
        <w:rPr>
          <w:rFonts w:hint="eastAsia" w:ascii="Times New Roman" w:hAnsi="Times New Roman"/>
          <w:lang w:val="en-US" w:eastAsia="zh-CN"/>
        </w:rPr>
        <w:t>执行标准</w:t>
      </w:r>
      <w:r>
        <w:tab/>
      </w:r>
      <w:r>
        <w:fldChar w:fldCharType="begin"/>
      </w:r>
      <w:r>
        <w:instrText xml:space="preserve"> PAGEREF _Toc2617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_Toc8141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6.1噪声验收标准</w:t>
      </w:r>
      <w:r>
        <w:tab/>
      </w:r>
      <w:r>
        <w:fldChar w:fldCharType="begin"/>
      </w:r>
      <w:r>
        <w:instrText xml:space="preserve"> PAGEREF _Toc8141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_Toc29562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7.验收监测内容</w:t>
      </w:r>
      <w:r>
        <w:tab/>
      </w:r>
      <w:r>
        <w:fldChar w:fldCharType="begin"/>
      </w:r>
      <w:r>
        <w:instrText xml:space="preserve"> PAGEREF _Toc29562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_Toc26726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7.1噪声</w:t>
      </w:r>
      <w:r>
        <w:tab/>
      </w:r>
      <w:r>
        <w:fldChar w:fldCharType="begin"/>
      </w:r>
      <w:r>
        <w:instrText xml:space="preserve"> PAGEREF _Toc26726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_Toc29241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8.质量保证及质量控制</w:t>
      </w:r>
      <w:r>
        <w:tab/>
      </w:r>
      <w:r>
        <w:fldChar w:fldCharType="begin"/>
      </w:r>
      <w:r>
        <w:instrText xml:space="preserve"> PAGEREF _Toc29241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_Toc12717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8.1</w:t>
      </w:r>
      <w:r>
        <w:rPr>
          <w:rFonts w:hint="default" w:ascii="Times New Roman" w:hAnsi="Times New Roman"/>
          <w:lang w:val="en-US" w:eastAsia="zh-CN"/>
        </w:rPr>
        <w:t xml:space="preserve"> 验收监测质量保证</w:t>
      </w:r>
      <w:r>
        <w:tab/>
      </w:r>
      <w:r>
        <w:fldChar w:fldCharType="begin"/>
      </w:r>
      <w:r>
        <w:instrText xml:space="preserve"> PAGEREF _Toc12717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_Toc22647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default" w:ascii="Times New Roman" w:hAnsi="Times New Roman"/>
          <w:lang w:val="en-US" w:eastAsia="zh-CN"/>
        </w:rPr>
        <w:t>.2噪声监测</w:t>
      </w:r>
      <w:r>
        <w:rPr>
          <w:rFonts w:hint="eastAsia" w:ascii="Times New Roman" w:hAnsi="Times New Roman"/>
          <w:lang w:val="en-US" w:eastAsia="zh-CN"/>
        </w:rPr>
        <w:t>分析过程中的质量保证和质量控制</w:t>
      </w:r>
      <w:r>
        <w:tab/>
      </w:r>
      <w:r>
        <w:fldChar w:fldCharType="begin"/>
      </w:r>
      <w:r>
        <w:instrText xml:space="preserve"> PAGEREF _Toc22647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_Toc216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8.3</w:t>
      </w:r>
      <w:r>
        <w:rPr>
          <w:rFonts w:hint="default" w:ascii="Times New Roman" w:hAnsi="Times New Roman"/>
          <w:lang w:val="en-US" w:eastAsia="zh-CN"/>
        </w:rPr>
        <w:t xml:space="preserve"> 监测分析方法</w:t>
      </w:r>
      <w:r>
        <w:tab/>
      </w:r>
      <w:r>
        <w:fldChar w:fldCharType="begin"/>
      </w:r>
      <w:r>
        <w:instrText xml:space="preserve"> PAGEREF _Toc216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_Toc3302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9.验收监测结果</w:t>
      </w:r>
      <w:r>
        <w:tab/>
      </w:r>
      <w:r>
        <w:fldChar w:fldCharType="begin"/>
      </w:r>
      <w:r>
        <w:instrText xml:space="preserve"> PAGEREF _Toc3302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_Toc1755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9.1生产工况</w:t>
      </w:r>
      <w:r>
        <w:tab/>
      </w:r>
      <w:r>
        <w:fldChar w:fldCharType="begin"/>
      </w:r>
      <w:r>
        <w:instrText xml:space="preserve"> PAGEREF _Toc1755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_Toc30090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9.2污染物达标排放监测结果</w:t>
      </w:r>
      <w:r>
        <w:tab/>
      </w:r>
      <w:r>
        <w:fldChar w:fldCharType="begin"/>
      </w:r>
      <w:r>
        <w:instrText xml:space="preserve"> PAGEREF _Toc30090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_Toc12039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9.2.1厂界噪声</w:t>
      </w:r>
      <w:r>
        <w:tab/>
      </w:r>
      <w:r>
        <w:fldChar w:fldCharType="begin"/>
      </w:r>
      <w:r>
        <w:instrText xml:space="preserve"> PAGEREF _Toc12039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_Toc10104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10.验收监测结论与建议</w:t>
      </w:r>
      <w:r>
        <w:tab/>
      </w:r>
      <w:r>
        <w:fldChar w:fldCharType="begin"/>
      </w:r>
      <w:r>
        <w:instrText xml:space="preserve"> PAGEREF _Toc10104 </w:instrText>
      </w:r>
      <w:r>
        <w:fldChar w:fldCharType="separate"/>
      </w:r>
      <w:r>
        <w:t>12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_Toc8866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10.1结论</w:t>
      </w:r>
      <w:r>
        <w:tab/>
      </w:r>
      <w:r>
        <w:fldChar w:fldCharType="begin"/>
      </w:r>
      <w:r>
        <w:instrText xml:space="preserve"> PAGEREF _Toc8866 </w:instrText>
      </w:r>
      <w:r>
        <w:fldChar w:fldCharType="separate"/>
      </w:r>
      <w:r>
        <w:t>12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_Toc17365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10.2</w:t>
      </w:r>
      <w:r>
        <w:rPr>
          <w:rFonts w:hint="default" w:ascii="Times New Roman" w:hAnsi="Times New Roman"/>
          <w:lang w:val="en-US" w:eastAsia="zh-CN"/>
        </w:rPr>
        <w:t>要求与建议</w:t>
      </w:r>
      <w:r>
        <w:tab/>
      </w:r>
      <w:r>
        <w:fldChar w:fldCharType="begin"/>
      </w:r>
      <w:r>
        <w:instrText xml:space="preserve"> PAGEREF _Toc17365 </w:instrText>
      </w:r>
      <w:r>
        <w:fldChar w:fldCharType="separate"/>
      </w:r>
      <w:r>
        <w:t>12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10"/>
        <w:tabs>
          <w:tab w:val="right" w:leader="dot" w:pos="8820"/>
        </w:tabs>
      </w:pPr>
    </w:p>
    <w:p>
      <w:pPr>
        <w:pStyle w:val="10"/>
        <w:tabs>
          <w:tab w:val="right" w:leader="dot" w:pos="8820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1.环评批复</w:t>
      </w:r>
    </w:p>
    <w:p>
      <w:pPr>
        <w:ind w:left="0" w:leftChars="0" w:firstLine="480" w:firstLineChars="200"/>
        <w:jc w:val="both"/>
        <w:rPr>
          <w:rFonts w:hint="eastAsia" w:ascii="宋体" w:hAnsi="Courier New" w:cs="Times New Roman" w:eastAsiaTheme="minorEastAsia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Courier New" w:cs="Times New Roman" w:eastAsiaTheme="minorEastAsia"/>
          <w:b w:val="0"/>
          <w:bCs w:val="0"/>
          <w:kern w:val="2"/>
          <w:sz w:val="24"/>
          <w:szCs w:val="20"/>
          <w:lang w:val="en-US" w:eastAsia="zh-CN" w:bidi="ar-SA"/>
        </w:rPr>
        <w:t>西安秦灞加油站建设项目环评情况说明</w:t>
      </w:r>
    </w:p>
    <w:p>
      <w:pPr>
        <w:pStyle w:val="2"/>
        <w:rPr>
          <w:rFonts w:hint="eastAsia" w:ascii="宋体" w:hAnsi="Courier New" w:cs="Times New Roman" w:eastAsiaTheme="minorEastAsia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Courier New" w:cs="Times New Roman" w:eastAsiaTheme="minorEastAsia"/>
          <w:b w:val="0"/>
          <w:bCs w:val="0"/>
          <w:kern w:val="2"/>
          <w:sz w:val="24"/>
          <w:szCs w:val="20"/>
          <w:lang w:val="en-US" w:eastAsia="zh-CN" w:bidi="ar-SA"/>
        </w:rPr>
        <w:t>3.加油站基本情况表</w:t>
      </w:r>
    </w:p>
    <w:p>
      <w:pPr>
        <w:pStyle w:val="5"/>
        <w:ind w:left="0" w:leftChars="0"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Courier New" w:cs="Times New Roman"/>
          <w:b w:val="0"/>
          <w:bCs w:val="0"/>
          <w:kern w:val="2"/>
          <w:sz w:val="24"/>
          <w:szCs w:val="20"/>
          <w:lang w:val="en-US" w:eastAsia="zh-CN" w:bidi="ar-SA"/>
        </w:rPr>
        <w:t>4.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加油站环保设施现场检查内容一览表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项目地理位置图</w:t>
      </w:r>
    </w:p>
    <w:p>
      <w:pPr>
        <w:pStyle w:val="5"/>
        <w:ind w:left="0" w:leftChars="0"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加油站平面布置及四邻关系图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</w:t>
      </w:r>
      <w:r>
        <w:rPr>
          <w:rFonts w:hint="eastAsia"/>
          <w:lang w:val="en-US" w:eastAsia="zh-CN"/>
        </w:rPr>
        <w:t>建设单位资质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8.设计单位资质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9.秦灞加油站应急预案备案登记表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10.危险废物处理协议、危废处理单位资质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11.废水处理协议、废水拉运清单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12.环境管理制度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13.危险化学品经营许可证</w:t>
      </w:r>
    </w:p>
    <w:p>
      <w:pPr>
        <w:rPr>
          <w:rFonts w:hint="eastAsia" w:ascii="宋体" w:hAnsi="Courier New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14</w:t>
      </w:r>
      <w:r>
        <w:rPr>
          <w:rFonts w:hint="eastAsia" w:ascii="宋体" w:hAnsi="Courier New" w:eastAsiaTheme="minorEastAsia" w:cstheme="minorBidi"/>
          <w:kern w:val="2"/>
          <w:sz w:val="24"/>
          <w:szCs w:val="20"/>
          <w:lang w:val="en-US" w:eastAsia="zh-CN" w:bidi="ar-SA"/>
        </w:rPr>
        <w:t>.相关图片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Courier New" w:eastAsiaTheme="minorEastAsia" w:cstheme="minorBidi"/>
          <w:kern w:val="2"/>
          <w:sz w:val="24"/>
          <w:szCs w:val="20"/>
          <w:lang w:val="en-US" w:eastAsia="zh-CN" w:bidi="ar-SA"/>
        </w:rPr>
        <w:t>15</w:t>
      </w:r>
      <w:r>
        <w:rPr>
          <w:rFonts w:hint="eastAsia"/>
          <w:lang w:val="en-US" w:eastAsia="zh-CN"/>
        </w:rPr>
        <w:t>.检测报告</w:t>
      </w:r>
    </w:p>
    <w:p>
      <w:pPr>
        <w:pStyle w:val="5"/>
        <w:ind w:left="0" w:leftChars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16.公众意见调查表</w:t>
      </w:r>
    </w:p>
    <w:p>
      <w:pPr>
        <w:pStyle w:val="2"/>
        <w:rPr>
          <w:rFonts w:hint="default" w:ascii="Times New Roman" w:hAnsi="Times New Roman" w:eastAsia="黑体" w:cs="Times New Roman"/>
          <w:bCs w:val="0"/>
          <w:color w:val="0000FF"/>
          <w:szCs w:val="28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556" w:bottom="1091" w:left="15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/>
        </w:rPr>
      </w:pPr>
      <w:bookmarkStart w:id="1" w:name="_Toc2956"/>
      <w:r>
        <w:rPr>
          <w:rFonts w:hint="eastAsia"/>
          <w:lang w:val="en-US" w:eastAsia="zh-CN"/>
        </w:rPr>
        <w:t>1.</w:t>
      </w:r>
      <w:r>
        <w:rPr>
          <w:rFonts w:hint="default"/>
        </w:rPr>
        <w:t>前言</w:t>
      </w:r>
      <w:bookmarkEnd w:id="1"/>
    </w:p>
    <w:tbl>
      <w:tblPr>
        <w:tblStyle w:val="13"/>
        <w:tblW w:w="9440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031"/>
        <w:gridCol w:w="2332"/>
        <w:gridCol w:w="1011"/>
        <w:gridCol w:w="845"/>
        <w:gridCol w:w="922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建设项目名称</w:t>
            </w:r>
          </w:p>
        </w:tc>
        <w:tc>
          <w:tcPr>
            <w:tcW w:w="71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西安秦灞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加油站建设项目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建设单位名称</w:t>
            </w:r>
          </w:p>
        </w:tc>
        <w:tc>
          <w:tcPr>
            <w:tcW w:w="71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西安秦灞加油站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建设项目主管部门</w:t>
            </w:r>
          </w:p>
        </w:tc>
        <w:tc>
          <w:tcPr>
            <w:tcW w:w="71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建设项目性质</w:t>
            </w:r>
          </w:p>
        </w:tc>
        <w:tc>
          <w:tcPr>
            <w:tcW w:w="71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新建√         改扩建        技改        迁建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主要产品名称：汽油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设计生产能力：年售油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吨/年，汽油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1360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，柴油1050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</w:rPr>
              <w:t>实际生产能力：年售油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  <w:lang w:val="en-US" w:eastAsia="zh-CN"/>
              </w:rPr>
              <w:t>250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</w:rPr>
              <w:t>吨/年，汽油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150吨/年，柴油100吨/年。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环评时间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2015.8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开工时间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2015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投入试生产时间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2016.6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现场监测时间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218.7.2-3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环评报告表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审批部门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西安市环保局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灞桥分局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环评报告表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编制单位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西安市环境保护科学研究院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环保设施设计单位      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中北工程设计咨询有限公司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环保设施施工单位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陕西商泰建筑工程有限公司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投资总概算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环保投资总概算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.6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7.24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实际总投资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实际环保投资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%</w:t>
            </w:r>
          </w:p>
        </w:tc>
      </w:tr>
    </w:tbl>
    <w:p>
      <w:pPr>
        <w:pStyle w:val="3"/>
        <w:spacing w:line="360" w:lineRule="auto"/>
        <w:ind w:left="0" w:leftChars="0" w:firstLine="0" w:firstLineChars="0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2" w:name="_Toc5111"/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验收监测依据</w:t>
      </w:r>
      <w:bookmarkEnd w:id="2"/>
    </w:p>
    <w:p>
      <w:pPr>
        <w:pStyle w:val="3"/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bookmarkStart w:id="3" w:name="_Toc31406"/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2.1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 xml:space="preserve"> 验收依据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（1）《中华人民共和国环境保护法》（2015年1月1日实施）；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（2）《建设项目环境保护管理条例》（国务院令第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682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（3）《建设项目竣工环境保护验收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暂行办法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国环规环评（2017）4号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（4）《建设项目竣工环境保护验收技术指南污染影响类》生态环境部第9号；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）《中国环境监测总站建设项目竣工环境保护验收监测管理规定》（验字［2005］172号，中国环境监测总站）；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）《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西安秦灞加油站环境影响报告表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》（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西安市环境保护科学研究院2015.8.5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西安市环境保护局灞桥分局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关于西安秦灞加油站项目环境影响报告表的批复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》（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灞环审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〔201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〕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16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西安秦灞加油站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提供的其他技术资料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bookmarkStart w:id="4" w:name="_Toc17235"/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Times New Roman" w:hAnsi="Times New Roman" w:cs="Times New Roman" w:eastAsiaTheme="minorEastAsia"/>
          <w:b w:val="0"/>
          <w:color w:val="auto"/>
          <w:kern w:val="2"/>
          <w:sz w:val="28"/>
          <w:szCs w:val="28"/>
          <w:lang w:val="en-US" w:eastAsia="zh-CN" w:bidi="ar-SA"/>
        </w:rPr>
        <w:t>）瑞境监（综）字（2018）第015号报告（陕西瑞境检测技术有限公司）。</w:t>
      </w:r>
      <w:bookmarkEnd w:id="4"/>
    </w:p>
    <w:p>
      <w:pPr>
        <w:pStyle w:val="3"/>
        <w:spacing w:line="360" w:lineRule="auto"/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bookmarkStart w:id="5" w:name="_Toc15606"/>
      <w:r>
        <w:rPr>
          <w:rFonts w:hint="eastAsia" w:ascii="Times New Roman" w:hAnsi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 xml:space="preserve"> 项目概况</w:t>
      </w:r>
      <w:bookmarkEnd w:id="5"/>
    </w:p>
    <w:p>
      <w:pPr>
        <w:pStyle w:val="3"/>
        <w:spacing w:line="360" w:lineRule="auto"/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bookmarkStart w:id="6" w:name="_Toc14213"/>
      <w:r>
        <w:rPr>
          <w:rFonts w:hint="eastAsia" w:ascii="Times New Roman" w:hAnsi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1 项目概况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项目所在地址位于西安市国际港务区新合街办宋家滩村村口（西韩路东）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地理位置图见图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-1。主要包括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加油区、储罐区、罩棚、站房、洗车房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。现有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座地埋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卧式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钢质油罐，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其中：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50m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  <w:vertAlign w:val="superscript"/>
        </w:rPr>
        <w:t>3</w:t>
      </w:r>
      <w:r>
        <w:rPr>
          <w:rFonts w:hint="eastAsia" w:cs="Times New Roman"/>
          <w:sz w:val="28"/>
          <w:szCs w:val="28"/>
          <w:shd w:val="clear"/>
          <w:lang w:val="en-US" w:eastAsia="zh-CN"/>
        </w:rPr>
        <w:t>柴油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罐</w:t>
      </w:r>
      <w:r>
        <w:rPr>
          <w:rFonts w:hint="eastAsia" w:cs="Times New Roman"/>
          <w:sz w:val="28"/>
          <w:szCs w:val="28"/>
          <w:shd w:val="clear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座、30m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  <w:vertAlign w:val="superscript"/>
        </w:rPr>
        <w:t>3</w:t>
      </w:r>
      <w:r>
        <w:rPr>
          <w:rFonts w:hint="eastAsia" w:cs="Times New Roman"/>
          <w:sz w:val="28"/>
          <w:szCs w:val="28"/>
          <w:shd w:val="clear"/>
          <w:lang w:val="en-US" w:eastAsia="zh-CN"/>
        </w:rPr>
        <w:t>柴油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罐</w:t>
      </w:r>
      <w:r>
        <w:rPr>
          <w:rFonts w:hint="eastAsia" w:cs="Times New Roman"/>
          <w:sz w:val="28"/>
          <w:szCs w:val="28"/>
          <w:shd w:val="clear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座</w:t>
      </w:r>
      <w:r>
        <w:rPr>
          <w:rFonts w:hint="eastAsia" w:cs="Times New Roman"/>
          <w:sz w:val="28"/>
          <w:szCs w:val="28"/>
          <w:shd w:val="clear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30m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  <w:vertAlign w:val="superscript"/>
        </w:rPr>
        <w:t>3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汽油罐</w:t>
      </w:r>
      <w:r>
        <w:rPr>
          <w:rFonts w:hint="eastAsia" w:cs="Times New Roman"/>
          <w:sz w:val="28"/>
          <w:szCs w:val="28"/>
          <w:shd w:val="clear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8"/>
          <w:szCs w:val="28"/>
          <w:shd w:val="clear"/>
        </w:rPr>
        <w:t>座</w:t>
      </w:r>
      <w:r>
        <w:rPr>
          <w:rFonts w:hint="eastAsia" w:cs="Times New Roman"/>
          <w:sz w:val="28"/>
          <w:szCs w:val="28"/>
          <w:shd w:val="clear"/>
          <w:lang w:eastAsia="zh-CN"/>
        </w:rPr>
        <w:t>，</w:t>
      </w:r>
      <w:r>
        <w:rPr>
          <w:rFonts w:hint="eastAsia" w:cs="Times New Roman"/>
          <w:sz w:val="28"/>
          <w:szCs w:val="28"/>
          <w:lang w:val="en-US" w:eastAsia="zh-CN"/>
        </w:rPr>
        <w:t>为二级加油站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。项目设有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台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枪加油机。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项目环评于2015年八月由西安市环境保护局灞桥分局审批通过，2018年7月补充洗车房环评情况说明。目前该项目各项环保设施已完成，具备验收条件。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项目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约50m为面粉厂，西侧距港务大道约3.4km，东侧距京昆高速约750m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项目地理位置图见图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-1，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项目平面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与周围关系图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-2。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图</w:t>
      </w:r>
      <w:r>
        <w:rPr>
          <w:rFonts w:hint="eastAsia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1   项目地理位置图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图</w:t>
      </w:r>
      <w:r>
        <w:rPr>
          <w:rFonts w:hint="eastAsia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-2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 xml:space="preserve">  项目总平面布置与周围关系图</w:t>
      </w:r>
    </w:p>
    <w:p>
      <w:pPr>
        <w:pStyle w:val="3"/>
        <w:spacing w:line="360" w:lineRule="auto"/>
        <w:ind w:left="0" w:leftChars="0" w:firstLine="0" w:firstLineChars="0"/>
        <w:jc w:val="both"/>
        <w:rPr>
          <w:rFonts w:hint="eastAsia" w:cs="Times New Roman"/>
          <w:sz w:val="28"/>
          <w:szCs w:val="28"/>
          <w:lang w:val="en-US" w:eastAsia="zh-CN"/>
        </w:rPr>
      </w:pPr>
      <w:bookmarkStart w:id="7" w:name="_Toc7675"/>
      <w:bookmarkStart w:id="8" w:name="_Toc30752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3.2</w:t>
      </w:r>
      <w:bookmarkEnd w:id="7"/>
      <w:r>
        <w:rPr>
          <w:rFonts w:hint="eastAsia" w:cs="Times New Roman"/>
          <w:sz w:val="28"/>
          <w:szCs w:val="28"/>
          <w:lang w:val="en-US" w:eastAsia="zh-CN"/>
        </w:rPr>
        <w:t>项目主要组成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3.2.1项目主要工程内容组成</w:t>
      </w: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项目主要工程设备见表3-1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表3-1 主要工程内容组成</w:t>
      </w:r>
    </w:p>
    <w:tbl>
      <w:tblPr>
        <w:tblStyle w:val="14"/>
        <w:tblW w:w="8328" w:type="dxa"/>
        <w:jc w:val="center"/>
        <w:tblInd w:w="5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99"/>
        <w:gridCol w:w="3105"/>
        <w:gridCol w:w="191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环评建设内容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实际建设内容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是否与环评一致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主体工程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加油区：8台双枪税控加油机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加油区：8台双枪税控加油机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不一致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储罐区：埋地单层钢制卧室油罐6个，50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柴油3个，30m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汽油3个。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储罐区：埋地单层钢制卧室油罐6个，30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汽油2个，30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柴油1个，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柴油3个。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辅助工程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罩棚：轻钢结构，1000m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，高7.2m。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罩棚：轻钢结构，1000m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，高7.2m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站房：砖混结构，186.12m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站房：砖混结构，186.12m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围墙：实体围墙。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围墙：实体围墙。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公用工程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给水：市政供水。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给水：市政供水。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供电：由市政供电网引入，设备用发电机一台。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供电：由市政供电网引入，设备用发电机一台。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供暖、制冷：供暖，制冷均采用分体式空调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供暖、制冷：供暖，制冷均采用分体式空调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环保工程</w:t>
            </w: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噪声：采用低噪声设备并采取加装减震垫。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噪声：采用低噪声设备并采取加装减震垫。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固体废物：生活垃圾交由环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卫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部门处置，危废交由有资质单位处理。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固废废物：生活垃圾交由环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卫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部门处置，危废交由陕西明瑞资源再生有限公司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置。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绿化：战区内进行绿化。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绿化：战区内进行绿化。</w:t>
            </w: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3.2.2</w:t>
      </w:r>
      <w:r>
        <w:rPr>
          <w:rFonts w:hint="default" w:cs="Times New Roman"/>
          <w:color w:val="auto"/>
          <w:sz w:val="28"/>
          <w:szCs w:val="28"/>
          <w:lang w:val="en-US" w:eastAsia="zh-CN"/>
        </w:rPr>
        <w:t xml:space="preserve"> 项目主要生产设备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项目主要生产设备见表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-2。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表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-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主要生产设备一览表</w:t>
      </w:r>
    </w:p>
    <w:tbl>
      <w:tblPr>
        <w:tblStyle w:val="13"/>
        <w:tblW w:w="910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6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46"/>
        <w:gridCol w:w="1579"/>
        <w:gridCol w:w="1338"/>
        <w:gridCol w:w="818"/>
        <w:gridCol w:w="819"/>
        <w:gridCol w:w="281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型号及规格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油罐区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汽油罐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92#、95#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单层罐，地下建有防渗池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加油岛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座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加油区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加油机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正星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加油岛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事故应急设施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5kgMF/ABC5型灭火器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MF5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加油区、站房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35kgMFT/ABC35型灭火器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MFT35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储罐区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灭火毯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块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仓库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消防锹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消防桶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消防沙池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5kg手提式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干粉灭火器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配电房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化粪池</w:t>
            </w:r>
          </w:p>
        </w:tc>
        <w:tc>
          <w:tcPr>
            <w:tcW w:w="157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与西安市第三污水厂签订废水处理合同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洗车房</w:t>
            </w:r>
          </w:p>
        </w:tc>
        <w:tc>
          <w:tcPr>
            <w:tcW w:w="157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防渗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隔油池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洗车房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防渗三格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沉淀池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洗车房</w:t>
            </w:r>
          </w:p>
        </w:tc>
      </w:tr>
    </w:tbl>
    <w:p>
      <w:pPr>
        <w:rPr>
          <w:rFonts w:hint="eastAsia" w:cs="Times New Roman"/>
          <w:color w:val="auto"/>
          <w:sz w:val="28"/>
          <w:szCs w:val="28"/>
          <w:lang w:val="en-US" w:eastAsia="zh-CN"/>
        </w:rPr>
      </w:pPr>
      <w:bookmarkStart w:id="9" w:name="_Toc12910"/>
      <w:r>
        <w:rPr>
          <w:rFonts w:hint="eastAsia" w:cs="Times New Roman"/>
          <w:color w:val="auto"/>
          <w:sz w:val="28"/>
          <w:szCs w:val="28"/>
          <w:lang w:val="en-US" w:eastAsia="zh-CN"/>
        </w:rPr>
        <w:t>3.2.3环评及批复阶段建设内容与实际建设内容一览表</w:t>
      </w:r>
    </w:p>
    <w:tbl>
      <w:tblPr>
        <w:tblStyle w:val="13"/>
        <w:tblW w:w="9811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833"/>
        <w:gridCol w:w="2163"/>
        <w:gridCol w:w="1101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833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环评及其批复要求</w:t>
            </w:r>
          </w:p>
        </w:tc>
        <w:tc>
          <w:tcPr>
            <w:tcW w:w="216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实际建设情况</w:t>
            </w:r>
          </w:p>
        </w:tc>
        <w:tc>
          <w:tcPr>
            <w:tcW w:w="11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固废</w:t>
            </w: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环评批复要求：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垃圾分类收集。危险废物应及时清理、收集、正确储存，并交有危险废物处置资质的单位进行处理，危废暂存场所需符合《危险废物贮存污染控制标准》（GB18597-2001）中的相关要求。建立危险废物转移联单制度，做好危险废物转移台账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  <w:bookmarkStart w:id="10" w:name="_Toc15452"/>
            <w:bookmarkStart w:id="11" w:name="_Toc7009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垃圾分类收集废油沙、油罐清洗废渣、等已与有资质的公司签订危险废弃物处置协议。</w:t>
            </w:r>
            <w:bookmarkEnd w:id="10"/>
            <w:bookmarkEnd w:id="11"/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协议见附件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环评要求：对于进出场车辆加强引导与管理，使来往车辆在减速、少鸣笛的状态进行，降低噪声及扬尘对环境的污染。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环评批复要求：选用低噪声设备，加强设备噪声管理。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FF"/>
                <w:sz w:val="24"/>
                <w:szCs w:val="24"/>
                <w:lang w:val="en-US" w:eastAsia="zh-CN"/>
              </w:rPr>
            </w:pPr>
            <w:bookmarkStart w:id="12" w:name="_Toc23788"/>
            <w:bookmarkStart w:id="13" w:name="_Toc20245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引导来往车辆减速等措施。</w:t>
            </w:r>
            <w:bookmarkEnd w:id="12"/>
            <w:bookmarkEnd w:id="13"/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防渗</w:t>
            </w:r>
          </w:p>
        </w:tc>
        <w:tc>
          <w:tcPr>
            <w:tcW w:w="5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环评要求：隔油池、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三格沉淀池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、油罐区应做好防渗措施，防止渗漏造成地下水污染。</w:t>
            </w:r>
          </w:p>
        </w:tc>
        <w:tc>
          <w:tcPr>
            <w:tcW w:w="21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隔油池、</w:t>
            </w:r>
            <w:r>
              <w:rPr>
                <w:rFonts w:hint="eastAsia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三格沉淀池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、油罐区均做好防渗。</w:t>
            </w:r>
          </w:p>
        </w:tc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环境管理</w:t>
            </w: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建设单位应在生产运营期中加强风险安全生产管理，并将环境风险预案报当地环保部门备案。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批复要求：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完善环境应急预案，加强环境突发事件应急演练工作，随时观测油气泄漏情况，发现异常及时采取防治措施，并上报环保主管部门。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编制有环境应急预案并已备案，定期进行应急演练。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见附件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批复要求：制定环境管理制度，落实专人负责环保工作，加强对污染防治设施的运行管理，定期进行检查和维修。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已制定环境管理制度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见附件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bookmarkEnd w:id="9"/>
    </w:tbl>
    <w:p>
      <w:pPr>
        <w:pStyle w:val="3"/>
        <w:ind w:left="0" w:leftChars="0" w:firstLine="0" w:firstLineChars="0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14" w:name="_Toc13715"/>
      <w:r>
        <w:rPr>
          <w:rFonts w:hint="eastAsia" w:ascii="Times New Roman" w:hAnsi="Times New Roman"/>
          <w:sz w:val="28"/>
          <w:szCs w:val="28"/>
          <w:lang w:val="en-US" w:eastAsia="zh-CN"/>
        </w:rPr>
        <w:t>3.3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生产工艺</w:t>
      </w:r>
      <w:bookmarkEnd w:id="14"/>
    </w:p>
    <w:p>
      <w:pPr>
        <w:rPr>
          <w:rFonts w:hint="default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3.3.1</w:t>
      </w:r>
      <w:r>
        <w:rPr>
          <w:rFonts w:hint="default" w:cs="Times New Roman"/>
          <w:color w:val="auto"/>
          <w:sz w:val="28"/>
          <w:szCs w:val="28"/>
          <w:lang w:val="en-US" w:eastAsia="zh-CN"/>
        </w:rPr>
        <w:t>加油工艺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/>
          <w:sz w:val="28"/>
          <w:szCs w:val="28"/>
          <w:lang w:eastAsia="zh-CN"/>
        </w:rPr>
        <w:t>加油时启动加油机，通过潜油泵将油品经地埋管道送入加油机内，经计量装置及加油枪加入用户车辆油箱，完成加油工作，加油工艺流程见图</w:t>
      </w:r>
      <w:r>
        <w:rPr>
          <w:rFonts w:hint="eastAsia"/>
          <w:sz w:val="28"/>
          <w:szCs w:val="28"/>
          <w:lang w:val="en-US" w:eastAsia="zh-CN"/>
        </w:rPr>
        <w:t>3-3</w:t>
      </w:r>
      <w:r>
        <w:rPr>
          <w:rFonts w:hint="default"/>
          <w:sz w:val="28"/>
          <w:szCs w:val="28"/>
        </w:rPr>
        <w:t>。</w:t>
      </w:r>
      <w:bookmarkStart w:id="15" w:name="_Toc8374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16" w:name="_Toc2495"/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3.3.</w:t>
      </w:r>
      <w:bookmarkEnd w:id="15"/>
      <w:r>
        <w:rPr>
          <w:rFonts w:hint="eastAsia" w:cs="Times New Roman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2生产工艺及排污流程图</w:t>
      </w:r>
      <w:bookmarkEnd w:id="16"/>
    </w:p>
    <w:p>
      <w:pPr>
        <w:spacing w:line="360" w:lineRule="auto"/>
        <w:ind w:firstLine="591" w:firstLineChars="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本项目生产工艺及产排污流程见图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-4。</w:t>
      </w:r>
    </w:p>
    <w:p>
      <w:pPr>
        <w:pStyle w:val="9"/>
        <w:adjustRightInd w:val="0"/>
        <w:snapToGrid w:val="0"/>
        <w:spacing w:line="384" w:lineRule="auto"/>
        <w:ind w:left="0" w:leftChars="0"/>
        <w:jc w:val="center"/>
        <w:rPr>
          <w:rFonts w:hint="default"/>
        </w:rPr>
      </w:pPr>
      <w:bookmarkStart w:id="18" w:name="_GoBack"/>
      <w:bookmarkEnd w:id="18"/>
      <w:r>
        <w:rPr>
          <w:rFonts w:hint="default" w:ascii="Times New Roman" w:hAnsi="Times New Roman" w:cs="Times New Roman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66880819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2550795</wp:posOffset>
                </wp:positionV>
                <wp:extent cx="2641600" cy="313690"/>
                <wp:effectExtent l="0" t="0" r="0" b="0"/>
                <wp:wrapNone/>
                <wp:docPr id="6" name="矩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cs="Times New Roman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>-4</w:t>
                            </w:r>
                            <w:r>
                              <w:rPr>
                                <w:rFonts w:hint="eastAsia" w:cs="Times New Roman"/>
                                <w:b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生产工艺及产排污流程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7" o:spid="_x0000_s1026" o:spt="1" style="position:absolute;left:0pt;margin-left:123.2pt;margin-top:200.85pt;height:24.7pt;width:208pt;z-index:668808192;mso-width-relative:page;mso-height-relative:page;" filled="f" stroked="f" coordsize="21600,21600" o:gfxdata="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J+lgH2wAAAAsBAAAPAAAAAAAAAAEAIAAAACIAAABkcnMv&#10;ZG93bnJldi54bWxQSwECFAAUAAAACACHTuJAsooBfI4BAAD+AgAADgAAAAAAAAABACAAAAAq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hint="eastAsia" w:cs="Times New Roman"/>
                          <w:b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1"/>
                          <w:szCs w:val="21"/>
                          <w:lang w:val="en-US" w:eastAsia="zh-CN"/>
                        </w:rPr>
                        <w:t>-4</w:t>
                      </w:r>
                      <w:r>
                        <w:rPr>
                          <w:rFonts w:hint="eastAsia" w:cs="Times New Roman"/>
                          <w:b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生产工艺及产排污流程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ind w:left="0" w:leftChars="0" w:firstLine="0" w:firstLineChars="0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17" w:name="_Toc4340"/>
      <w:r>
        <w:rPr>
          <w:rFonts w:hint="eastAsia" w:ascii="Times New Roman" w:hAnsi="Times New Roman"/>
          <w:sz w:val="28"/>
          <w:szCs w:val="28"/>
          <w:lang w:val="en-US" w:eastAsia="zh-CN"/>
        </w:rPr>
        <w:t>3.4工程变更情况</w:t>
      </w:r>
      <w:bookmarkEnd w:id="1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/>
          <w:color w:val="000000"/>
          <w:position w:val="0"/>
          <w:sz w:val="28"/>
          <w:szCs w:val="28"/>
          <w:lang w:eastAsia="zh-CN"/>
        </w:rPr>
        <w:t>由于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原计划建设50m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柴油罐3个，30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汽油罐3个，属于一级加油站，但经过考察周边情况及资金情况，最后实际建设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50m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柴油罐3个，30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柴油罐1个，30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汽油罐2个，属于二级加油站；</w:t>
      </w:r>
      <w:r>
        <w:rPr>
          <w:rFonts w:hint="eastAsia" w:ascii="Times New Roman" w:hAnsi="Times New Roman"/>
          <w:b w:val="0"/>
          <w:bCs/>
          <w:color w:val="000000"/>
          <w:position w:val="0"/>
          <w:sz w:val="28"/>
          <w:szCs w:val="28"/>
          <w:lang w:eastAsia="zh-CN"/>
        </w:rPr>
        <w:t>原计划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建设12m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化粪池</w:t>
      </w:r>
      <w:r>
        <w:rPr>
          <w:rFonts w:hint="eastAsia" w:ascii="Times New Roman" w:hAnsi="Times New Roman"/>
          <w:b w:val="0"/>
          <w:bCs/>
          <w:color w:val="000000"/>
          <w:position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考虑实际情况及资金情况，决定</w:t>
      </w:r>
      <w:r>
        <w:rPr>
          <w:rFonts w:hint="eastAsia" w:ascii="Times New Roman" w:hAnsi="Times New Roman"/>
          <w:b w:val="0"/>
          <w:bCs/>
          <w:color w:val="000000"/>
          <w:position w:val="0"/>
          <w:sz w:val="28"/>
          <w:szCs w:val="28"/>
          <w:lang w:val="en-US" w:eastAsia="zh-CN"/>
        </w:rPr>
        <w:t>实际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建设18m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b w:val="0"/>
          <w:bCs/>
          <w:color w:val="000000"/>
          <w:position w:val="0"/>
          <w:sz w:val="28"/>
          <w:szCs w:val="28"/>
          <w:vertAlign w:val="baseline"/>
          <w:lang w:val="en-US" w:eastAsia="zh-CN"/>
        </w:rPr>
        <w:t>化粪池；原计划不建设洗车房，后考虑到洗车业务的需求，最终加上洗车房</w:t>
      </w:r>
      <w:r>
        <w:rPr>
          <w:rFonts w:hint="eastAsia"/>
          <w:b w:val="0"/>
          <w:bCs/>
          <w:color w:val="000000"/>
          <w:position w:val="0"/>
          <w:sz w:val="28"/>
          <w:szCs w:val="28"/>
          <w:lang w:val="en-US" w:eastAsia="zh-CN"/>
        </w:rPr>
        <w:t>其实际情况和</w:t>
      </w:r>
      <w:r>
        <w:rPr>
          <w:rFonts w:hint="eastAsia" w:ascii="Times New Roman" w:hAnsi="Times New Roman"/>
          <w:b w:val="0"/>
          <w:bCs/>
          <w:color w:val="000000"/>
          <w:position w:val="0"/>
          <w:sz w:val="28"/>
          <w:szCs w:val="28"/>
          <w:lang w:val="en-US" w:eastAsia="zh-CN"/>
        </w:rPr>
        <w:t>环评要求不一致，此变更为非重大变更。</w:t>
      </w:r>
    </w:p>
    <w:p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440" w:right="1378" w:bottom="1440" w:left="137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ragraph">
                <wp:posOffset>-17780</wp:posOffset>
              </wp:positionV>
              <wp:extent cx="2353310" cy="30099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331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陕西瑞境检测技术有限公司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45pt;margin-top:-1.4pt;height:23.7pt;width:185.3pt;z-index:251661312;mso-width-relative:page;mso-height-relative:page;" filled="f" stroked="f" coordsize="21600,21600" o:gfxdata="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2m&#10;Iv/bAAAACQEAAA8AAAAAAAAAAQAgAAAAIgAAAGRycy9kb3ducmV2LnhtbFBLAQIUABQAAAAIAIdO&#10;4kCfdTjEIAIAABoEAAAOAAAAAAAAAAEAIAAAACoBAABkcnMvZTJvRG9jLnhtbFBLBQYAAAAABgAG&#10;AFkBAAC8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陕西瑞境检测技术有限公司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="宋体"/>
        <w:lang w:eastAsia="zh-CN"/>
      </w:rPr>
    </w:pPr>
    <w:r>
      <w:rPr>
        <w:rFonts w:hint="eastAsia"/>
        <w:i/>
        <w:iCs/>
        <w:color w:val="auto"/>
        <w:sz w:val="22"/>
        <w:szCs w:val="16"/>
        <w:lang w:val="en-US" w:eastAsia="zh-CN"/>
      </w:rPr>
      <w:t>西安秦灞加油站</w:t>
    </w:r>
    <w:r>
      <w:rPr>
        <w:rFonts w:hint="eastAsia"/>
        <w:i/>
        <w:iCs/>
        <w:color w:val="auto"/>
        <w:sz w:val="22"/>
        <w:szCs w:val="16"/>
        <w:lang w:eastAsia="zh-CN"/>
      </w:rPr>
      <w:t>项目</w:t>
    </w:r>
    <w:r>
      <w:rPr>
        <w:rFonts w:hint="eastAsia"/>
        <w:i/>
        <w:iCs/>
        <w:color w:val="auto"/>
        <w:sz w:val="22"/>
        <w:szCs w:val="16"/>
        <w:lang w:val="en-US" w:eastAsia="zh-CN"/>
      </w:rPr>
      <w:t>竣工</w:t>
    </w:r>
    <w:r>
      <w:rPr>
        <w:rFonts w:hint="eastAsia"/>
        <w:i/>
        <w:iCs/>
        <w:color w:val="auto"/>
        <w:sz w:val="22"/>
        <w:szCs w:val="16"/>
      </w:rPr>
      <w:t>环境保护验收监测</w:t>
    </w:r>
    <w:r>
      <w:rPr>
        <w:rFonts w:hint="eastAsia"/>
        <w:i/>
        <w:iCs/>
        <w:color w:val="auto"/>
        <w:sz w:val="22"/>
        <w:szCs w:val="16"/>
        <w:lang w:eastAsia="zh-CN"/>
      </w:rPr>
      <w:t>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E4C3D"/>
    <w:rsid w:val="00896224"/>
    <w:rsid w:val="00BC4BF0"/>
    <w:rsid w:val="00DC342C"/>
    <w:rsid w:val="00E96554"/>
    <w:rsid w:val="01714C70"/>
    <w:rsid w:val="01E335AF"/>
    <w:rsid w:val="023355BA"/>
    <w:rsid w:val="023B5520"/>
    <w:rsid w:val="02E262CE"/>
    <w:rsid w:val="032276E7"/>
    <w:rsid w:val="032D1353"/>
    <w:rsid w:val="03351493"/>
    <w:rsid w:val="03D72644"/>
    <w:rsid w:val="03FA7289"/>
    <w:rsid w:val="040025C4"/>
    <w:rsid w:val="041812F1"/>
    <w:rsid w:val="044A749E"/>
    <w:rsid w:val="04717F78"/>
    <w:rsid w:val="04E00464"/>
    <w:rsid w:val="050B1258"/>
    <w:rsid w:val="054F2D1F"/>
    <w:rsid w:val="05F047B8"/>
    <w:rsid w:val="060176B8"/>
    <w:rsid w:val="06281551"/>
    <w:rsid w:val="063A7EE8"/>
    <w:rsid w:val="067E197E"/>
    <w:rsid w:val="06CE13B0"/>
    <w:rsid w:val="07005EFA"/>
    <w:rsid w:val="07464448"/>
    <w:rsid w:val="0765075B"/>
    <w:rsid w:val="07BB4092"/>
    <w:rsid w:val="07DF1FDA"/>
    <w:rsid w:val="07FF24F0"/>
    <w:rsid w:val="086F2248"/>
    <w:rsid w:val="088656B8"/>
    <w:rsid w:val="08F0369A"/>
    <w:rsid w:val="09067A22"/>
    <w:rsid w:val="09214B02"/>
    <w:rsid w:val="097055EB"/>
    <w:rsid w:val="09764678"/>
    <w:rsid w:val="09F00001"/>
    <w:rsid w:val="0A185EBB"/>
    <w:rsid w:val="0A5F60CB"/>
    <w:rsid w:val="0AC90A8D"/>
    <w:rsid w:val="0AED7688"/>
    <w:rsid w:val="0AEE4CD9"/>
    <w:rsid w:val="0B7C51CF"/>
    <w:rsid w:val="0B9E5AEA"/>
    <w:rsid w:val="0BAC1FAD"/>
    <w:rsid w:val="0BE46201"/>
    <w:rsid w:val="0C072576"/>
    <w:rsid w:val="0C462E95"/>
    <w:rsid w:val="0CEB0B1C"/>
    <w:rsid w:val="0D277EFA"/>
    <w:rsid w:val="0E234C14"/>
    <w:rsid w:val="0E4E3794"/>
    <w:rsid w:val="0E52530F"/>
    <w:rsid w:val="0E6218D7"/>
    <w:rsid w:val="0E843981"/>
    <w:rsid w:val="0EE40A67"/>
    <w:rsid w:val="0F9B1E49"/>
    <w:rsid w:val="0FE26CA5"/>
    <w:rsid w:val="105B2253"/>
    <w:rsid w:val="1069531B"/>
    <w:rsid w:val="10755366"/>
    <w:rsid w:val="10B035BB"/>
    <w:rsid w:val="10D50258"/>
    <w:rsid w:val="10DB2497"/>
    <w:rsid w:val="118453F3"/>
    <w:rsid w:val="11AB3D9C"/>
    <w:rsid w:val="123B5AAA"/>
    <w:rsid w:val="126B7AAC"/>
    <w:rsid w:val="1297339C"/>
    <w:rsid w:val="12A44A18"/>
    <w:rsid w:val="12D12136"/>
    <w:rsid w:val="1300477D"/>
    <w:rsid w:val="13033A57"/>
    <w:rsid w:val="13136958"/>
    <w:rsid w:val="134B7BB8"/>
    <w:rsid w:val="13852F14"/>
    <w:rsid w:val="13A33D5F"/>
    <w:rsid w:val="145E02DD"/>
    <w:rsid w:val="148277C9"/>
    <w:rsid w:val="14920232"/>
    <w:rsid w:val="14986166"/>
    <w:rsid w:val="14AD25EC"/>
    <w:rsid w:val="14FB2F61"/>
    <w:rsid w:val="165A043A"/>
    <w:rsid w:val="169C3512"/>
    <w:rsid w:val="16CE337D"/>
    <w:rsid w:val="16DF3DC8"/>
    <w:rsid w:val="16E007F9"/>
    <w:rsid w:val="16F11A0E"/>
    <w:rsid w:val="16F63D1F"/>
    <w:rsid w:val="16FF78ED"/>
    <w:rsid w:val="172E656A"/>
    <w:rsid w:val="175F501C"/>
    <w:rsid w:val="17754A0E"/>
    <w:rsid w:val="17D712EE"/>
    <w:rsid w:val="17E003DF"/>
    <w:rsid w:val="17EB14B9"/>
    <w:rsid w:val="18A7639A"/>
    <w:rsid w:val="18B55950"/>
    <w:rsid w:val="18D77BD3"/>
    <w:rsid w:val="197A3BF4"/>
    <w:rsid w:val="19F9286E"/>
    <w:rsid w:val="1A1A302D"/>
    <w:rsid w:val="1A3310F3"/>
    <w:rsid w:val="1A640E22"/>
    <w:rsid w:val="1AC9246F"/>
    <w:rsid w:val="1B225D19"/>
    <w:rsid w:val="1B39083B"/>
    <w:rsid w:val="1BC630F9"/>
    <w:rsid w:val="1C972570"/>
    <w:rsid w:val="1CC82520"/>
    <w:rsid w:val="1CE9186E"/>
    <w:rsid w:val="1D18664C"/>
    <w:rsid w:val="1D1E460C"/>
    <w:rsid w:val="1D34528E"/>
    <w:rsid w:val="1D644908"/>
    <w:rsid w:val="1D9D051D"/>
    <w:rsid w:val="1E564449"/>
    <w:rsid w:val="1E5D3999"/>
    <w:rsid w:val="1E6B3BD5"/>
    <w:rsid w:val="1E783013"/>
    <w:rsid w:val="1E8D572B"/>
    <w:rsid w:val="1EE332E5"/>
    <w:rsid w:val="1EE36F7A"/>
    <w:rsid w:val="1F8006D2"/>
    <w:rsid w:val="214649E1"/>
    <w:rsid w:val="217912D4"/>
    <w:rsid w:val="21CD3596"/>
    <w:rsid w:val="22DB72A4"/>
    <w:rsid w:val="2354621D"/>
    <w:rsid w:val="23B17F97"/>
    <w:rsid w:val="2428759A"/>
    <w:rsid w:val="247A057B"/>
    <w:rsid w:val="24CD2167"/>
    <w:rsid w:val="24E738CD"/>
    <w:rsid w:val="251645B8"/>
    <w:rsid w:val="25210ED9"/>
    <w:rsid w:val="259D5F51"/>
    <w:rsid w:val="25C6398E"/>
    <w:rsid w:val="25E15456"/>
    <w:rsid w:val="25EE2FFA"/>
    <w:rsid w:val="269A5D50"/>
    <w:rsid w:val="26DC30B8"/>
    <w:rsid w:val="27260147"/>
    <w:rsid w:val="27481039"/>
    <w:rsid w:val="274E7D51"/>
    <w:rsid w:val="278A3D32"/>
    <w:rsid w:val="27B333E7"/>
    <w:rsid w:val="27B63B68"/>
    <w:rsid w:val="28422856"/>
    <w:rsid w:val="28782838"/>
    <w:rsid w:val="287E0C79"/>
    <w:rsid w:val="28B864CB"/>
    <w:rsid w:val="297A6BF3"/>
    <w:rsid w:val="298F1182"/>
    <w:rsid w:val="2ADF30F1"/>
    <w:rsid w:val="2AE17396"/>
    <w:rsid w:val="2B0575A9"/>
    <w:rsid w:val="2B4234F3"/>
    <w:rsid w:val="2B5A52BA"/>
    <w:rsid w:val="2BC46238"/>
    <w:rsid w:val="2C112C88"/>
    <w:rsid w:val="2CB73563"/>
    <w:rsid w:val="2CDF096F"/>
    <w:rsid w:val="2CEE6300"/>
    <w:rsid w:val="2CF06754"/>
    <w:rsid w:val="2D2B6203"/>
    <w:rsid w:val="2D557E8B"/>
    <w:rsid w:val="2DF2000F"/>
    <w:rsid w:val="2E2E2233"/>
    <w:rsid w:val="2E60687C"/>
    <w:rsid w:val="2E783F69"/>
    <w:rsid w:val="2E7E33BE"/>
    <w:rsid w:val="2EB03C36"/>
    <w:rsid w:val="2EF94A70"/>
    <w:rsid w:val="2EFB0CE3"/>
    <w:rsid w:val="2F1C0400"/>
    <w:rsid w:val="2F4F5232"/>
    <w:rsid w:val="2F5C2C59"/>
    <w:rsid w:val="2FBF6A8C"/>
    <w:rsid w:val="30325448"/>
    <w:rsid w:val="30AC2800"/>
    <w:rsid w:val="30E83D2E"/>
    <w:rsid w:val="3142384F"/>
    <w:rsid w:val="322D5CBF"/>
    <w:rsid w:val="32475195"/>
    <w:rsid w:val="32B665A9"/>
    <w:rsid w:val="335A7D91"/>
    <w:rsid w:val="33BA42F2"/>
    <w:rsid w:val="34142372"/>
    <w:rsid w:val="34965FBB"/>
    <w:rsid w:val="34B13A3B"/>
    <w:rsid w:val="34B96057"/>
    <w:rsid w:val="34CF1765"/>
    <w:rsid w:val="34E83B63"/>
    <w:rsid w:val="353530CB"/>
    <w:rsid w:val="35AA5B6D"/>
    <w:rsid w:val="35FC35F2"/>
    <w:rsid w:val="36291CB1"/>
    <w:rsid w:val="365241BF"/>
    <w:rsid w:val="36812E0E"/>
    <w:rsid w:val="36927774"/>
    <w:rsid w:val="374B561D"/>
    <w:rsid w:val="375E4C3D"/>
    <w:rsid w:val="376468D2"/>
    <w:rsid w:val="37A121BC"/>
    <w:rsid w:val="37AB5739"/>
    <w:rsid w:val="37B43F74"/>
    <w:rsid w:val="37DC68E7"/>
    <w:rsid w:val="38081BB9"/>
    <w:rsid w:val="39085CDB"/>
    <w:rsid w:val="39AC4CE7"/>
    <w:rsid w:val="3A943C9B"/>
    <w:rsid w:val="3B1207C1"/>
    <w:rsid w:val="3B504FD1"/>
    <w:rsid w:val="3B60794C"/>
    <w:rsid w:val="3B7E71D3"/>
    <w:rsid w:val="3BD93B59"/>
    <w:rsid w:val="3BDB0805"/>
    <w:rsid w:val="3BDF7297"/>
    <w:rsid w:val="3C494575"/>
    <w:rsid w:val="3CB449F5"/>
    <w:rsid w:val="3CEC3C62"/>
    <w:rsid w:val="3D127E1B"/>
    <w:rsid w:val="3D2F17FF"/>
    <w:rsid w:val="3D755479"/>
    <w:rsid w:val="3DCA5B0C"/>
    <w:rsid w:val="3DFE405E"/>
    <w:rsid w:val="3E284F67"/>
    <w:rsid w:val="3E2E769D"/>
    <w:rsid w:val="3F061158"/>
    <w:rsid w:val="3F2F776F"/>
    <w:rsid w:val="3F58181C"/>
    <w:rsid w:val="3F5D03B9"/>
    <w:rsid w:val="3FA34E62"/>
    <w:rsid w:val="3FEF13D5"/>
    <w:rsid w:val="4011593D"/>
    <w:rsid w:val="40932C4C"/>
    <w:rsid w:val="40A33E15"/>
    <w:rsid w:val="412D24B2"/>
    <w:rsid w:val="41B501DA"/>
    <w:rsid w:val="422C6CBD"/>
    <w:rsid w:val="42847773"/>
    <w:rsid w:val="42D02B56"/>
    <w:rsid w:val="42EE29BF"/>
    <w:rsid w:val="432B73D4"/>
    <w:rsid w:val="43442274"/>
    <w:rsid w:val="435E48A2"/>
    <w:rsid w:val="436E0FBF"/>
    <w:rsid w:val="437F6C67"/>
    <w:rsid w:val="438B4667"/>
    <w:rsid w:val="439751DB"/>
    <w:rsid w:val="4446386C"/>
    <w:rsid w:val="44C10B3F"/>
    <w:rsid w:val="44C85B0C"/>
    <w:rsid w:val="45790911"/>
    <w:rsid w:val="45903243"/>
    <w:rsid w:val="45991B82"/>
    <w:rsid w:val="45C374EE"/>
    <w:rsid w:val="45E33789"/>
    <w:rsid w:val="460D2BD1"/>
    <w:rsid w:val="46320EC8"/>
    <w:rsid w:val="4633288B"/>
    <w:rsid w:val="469D6477"/>
    <w:rsid w:val="47354D09"/>
    <w:rsid w:val="47802F5F"/>
    <w:rsid w:val="47B80AAE"/>
    <w:rsid w:val="480D125B"/>
    <w:rsid w:val="481E5097"/>
    <w:rsid w:val="48A15FD6"/>
    <w:rsid w:val="48E8199D"/>
    <w:rsid w:val="494C19D0"/>
    <w:rsid w:val="49B77587"/>
    <w:rsid w:val="4A0F4606"/>
    <w:rsid w:val="4A123274"/>
    <w:rsid w:val="4A133394"/>
    <w:rsid w:val="4A2C50D6"/>
    <w:rsid w:val="4A623124"/>
    <w:rsid w:val="4A69016A"/>
    <w:rsid w:val="4A784993"/>
    <w:rsid w:val="4AD41911"/>
    <w:rsid w:val="4ADA4375"/>
    <w:rsid w:val="4AEA4039"/>
    <w:rsid w:val="4AF62C23"/>
    <w:rsid w:val="4B122A96"/>
    <w:rsid w:val="4B186355"/>
    <w:rsid w:val="4B1E03A3"/>
    <w:rsid w:val="4BE133AC"/>
    <w:rsid w:val="4BE47735"/>
    <w:rsid w:val="4BF473A5"/>
    <w:rsid w:val="4C484C64"/>
    <w:rsid w:val="4C5264D0"/>
    <w:rsid w:val="4C766376"/>
    <w:rsid w:val="4CEC6A61"/>
    <w:rsid w:val="4D2C7A30"/>
    <w:rsid w:val="4D700049"/>
    <w:rsid w:val="4DAC1084"/>
    <w:rsid w:val="4DAC10CB"/>
    <w:rsid w:val="4DB87895"/>
    <w:rsid w:val="4E3A61DA"/>
    <w:rsid w:val="4F484CD8"/>
    <w:rsid w:val="4F622951"/>
    <w:rsid w:val="4F63676A"/>
    <w:rsid w:val="4F772D71"/>
    <w:rsid w:val="4FCD27F2"/>
    <w:rsid w:val="4FD622F1"/>
    <w:rsid w:val="4FE15D4B"/>
    <w:rsid w:val="4FE20285"/>
    <w:rsid w:val="4FFB7E75"/>
    <w:rsid w:val="50C14CAC"/>
    <w:rsid w:val="511A1464"/>
    <w:rsid w:val="51685143"/>
    <w:rsid w:val="51E33143"/>
    <w:rsid w:val="52580A0A"/>
    <w:rsid w:val="535F0570"/>
    <w:rsid w:val="53CD7F33"/>
    <w:rsid w:val="54117A71"/>
    <w:rsid w:val="549A325C"/>
    <w:rsid w:val="54C410F4"/>
    <w:rsid w:val="553A5FE6"/>
    <w:rsid w:val="556A022F"/>
    <w:rsid w:val="55725EAA"/>
    <w:rsid w:val="55E817AA"/>
    <w:rsid w:val="55F0630B"/>
    <w:rsid w:val="56E26F80"/>
    <w:rsid w:val="57047640"/>
    <w:rsid w:val="5714255E"/>
    <w:rsid w:val="5725362E"/>
    <w:rsid w:val="57265A05"/>
    <w:rsid w:val="574452CE"/>
    <w:rsid w:val="575A24FC"/>
    <w:rsid w:val="57966B79"/>
    <w:rsid w:val="57DE76C4"/>
    <w:rsid w:val="57E87294"/>
    <w:rsid w:val="58353EFE"/>
    <w:rsid w:val="58EA2692"/>
    <w:rsid w:val="590F25B5"/>
    <w:rsid w:val="59370FB9"/>
    <w:rsid w:val="596E464B"/>
    <w:rsid w:val="59914EBE"/>
    <w:rsid w:val="599D4636"/>
    <w:rsid w:val="59C11013"/>
    <w:rsid w:val="59DD6846"/>
    <w:rsid w:val="59F4687B"/>
    <w:rsid w:val="5A9965F4"/>
    <w:rsid w:val="5A9E1DC7"/>
    <w:rsid w:val="5AF03E0C"/>
    <w:rsid w:val="5B053C13"/>
    <w:rsid w:val="5B0A13DA"/>
    <w:rsid w:val="5B7A5378"/>
    <w:rsid w:val="5B88217E"/>
    <w:rsid w:val="5BA424A7"/>
    <w:rsid w:val="5BBC50D2"/>
    <w:rsid w:val="5BF4194B"/>
    <w:rsid w:val="5C551590"/>
    <w:rsid w:val="5D321E3C"/>
    <w:rsid w:val="5D58240F"/>
    <w:rsid w:val="5D691739"/>
    <w:rsid w:val="5E4A7C15"/>
    <w:rsid w:val="5EA806DC"/>
    <w:rsid w:val="5ECA10BC"/>
    <w:rsid w:val="5EEF0B4B"/>
    <w:rsid w:val="5F2F024E"/>
    <w:rsid w:val="5F397147"/>
    <w:rsid w:val="5F74224D"/>
    <w:rsid w:val="5FB354A5"/>
    <w:rsid w:val="5FEA2E59"/>
    <w:rsid w:val="605C6706"/>
    <w:rsid w:val="61435766"/>
    <w:rsid w:val="614A42D4"/>
    <w:rsid w:val="61797DA1"/>
    <w:rsid w:val="61B32F84"/>
    <w:rsid w:val="62137984"/>
    <w:rsid w:val="625963B5"/>
    <w:rsid w:val="62857A61"/>
    <w:rsid w:val="62D95332"/>
    <w:rsid w:val="62DD47D4"/>
    <w:rsid w:val="62F853E4"/>
    <w:rsid w:val="630F58B1"/>
    <w:rsid w:val="638D1AE0"/>
    <w:rsid w:val="63C56298"/>
    <w:rsid w:val="641B556C"/>
    <w:rsid w:val="646F1984"/>
    <w:rsid w:val="647F57A7"/>
    <w:rsid w:val="64957AB0"/>
    <w:rsid w:val="64BD33E6"/>
    <w:rsid w:val="65734FA1"/>
    <w:rsid w:val="65AB0425"/>
    <w:rsid w:val="66430383"/>
    <w:rsid w:val="66935606"/>
    <w:rsid w:val="66F3560D"/>
    <w:rsid w:val="67013D8C"/>
    <w:rsid w:val="670D4EF3"/>
    <w:rsid w:val="673139F6"/>
    <w:rsid w:val="673A0AF6"/>
    <w:rsid w:val="676A5FC3"/>
    <w:rsid w:val="67F94133"/>
    <w:rsid w:val="68791829"/>
    <w:rsid w:val="68820E2C"/>
    <w:rsid w:val="6884599E"/>
    <w:rsid w:val="692A757A"/>
    <w:rsid w:val="695D1A52"/>
    <w:rsid w:val="6973141A"/>
    <w:rsid w:val="69ED33E9"/>
    <w:rsid w:val="6A765E4E"/>
    <w:rsid w:val="6AB26E47"/>
    <w:rsid w:val="6AFC2AB3"/>
    <w:rsid w:val="6B316F09"/>
    <w:rsid w:val="6B4E2696"/>
    <w:rsid w:val="6B643578"/>
    <w:rsid w:val="6C190ABF"/>
    <w:rsid w:val="6C1B1582"/>
    <w:rsid w:val="6C7D2857"/>
    <w:rsid w:val="6CF90256"/>
    <w:rsid w:val="6D55594D"/>
    <w:rsid w:val="6D5A032D"/>
    <w:rsid w:val="6D7E73B4"/>
    <w:rsid w:val="6D8A0D01"/>
    <w:rsid w:val="6DB06ABB"/>
    <w:rsid w:val="6E40497A"/>
    <w:rsid w:val="6EEA533D"/>
    <w:rsid w:val="6FE0472F"/>
    <w:rsid w:val="704632C1"/>
    <w:rsid w:val="7055204E"/>
    <w:rsid w:val="70A65B0C"/>
    <w:rsid w:val="70C7131B"/>
    <w:rsid w:val="70E524D9"/>
    <w:rsid w:val="7127328A"/>
    <w:rsid w:val="71E23B11"/>
    <w:rsid w:val="71E70D11"/>
    <w:rsid w:val="72C550E5"/>
    <w:rsid w:val="730A2094"/>
    <w:rsid w:val="73750A46"/>
    <w:rsid w:val="738B5558"/>
    <w:rsid w:val="74165A43"/>
    <w:rsid w:val="744B1D30"/>
    <w:rsid w:val="74D2279F"/>
    <w:rsid w:val="74D875D9"/>
    <w:rsid w:val="74E9035C"/>
    <w:rsid w:val="7513198A"/>
    <w:rsid w:val="75375F15"/>
    <w:rsid w:val="754D3E13"/>
    <w:rsid w:val="75EF777D"/>
    <w:rsid w:val="761C3074"/>
    <w:rsid w:val="767C1DF2"/>
    <w:rsid w:val="76922C4C"/>
    <w:rsid w:val="76976C8E"/>
    <w:rsid w:val="76AD5EBA"/>
    <w:rsid w:val="76D10E19"/>
    <w:rsid w:val="77065F40"/>
    <w:rsid w:val="774B2593"/>
    <w:rsid w:val="776A03AB"/>
    <w:rsid w:val="78012A1E"/>
    <w:rsid w:val="788E3DF6"/>
    <w:rsid w:val="78AB4A8E"/>
    <w:rsid w:val="78B230F2"/>
    <w:rsid w:val="78D76B25"/>
    <w:rsid w:val="78DF6BDE"/>
    <w:rsid w:val="790452B1"/>
    <w:rsid w:val="798E7FA3"/>
    <w:rsid w:val="79BF46A8"/>
    <w:rsid w:val="7A75685B"/>
    <w:rsid w:val="7AC001A3"/>
    <w:rsid w:val="7AC23CDE"/>
    <w:rsid w:val="7B632DF1"/>
    <w:rsid w:val="7BD64258"/>
    <w:rsid w:val="7C0E6F48"/>
    <w:rsid w:val="7C2A6E57"/>
    <w:rsid w:val="7CBF7FF3"/>
    <w:rsid w:val="7CEE0458"/>
    <w:rsid w:val="7D136C7B"/>
    <w:rsid w:val="7DD40931"/>
    <w:rsid w:val="7DD60759"/>
    <w:rsid w:val="7DFF7CF1"/>
    <w:rsid w:val="7E5A7242"/>
    <w:rsid w:val="7F4E208A"/>
    <w:rsid w:val="7FD32230"/>
    <w:rsid w:val="7FD6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6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3240"/>
        <w:tab w:val="left" w:pos="6120"/>
      </w:tabs>
      <w:spacing w:line="360" w:lineRule="auto"/>
      <w:jc w:val="left"/>
      <w:outlineLvl w:val="0"/>
    </w:pPr>
    <w:rPr>
      <w:rFonts w:ascii="Times New Roman" w:hAnsi="Times New Roman" w:eastAsia="宋体"/>
      <w:b/>
      <w:sz w:val="28"/>
      <w:szCs w:val="30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表格标题"/>
    <w:basedOn w:val="4"/>
    <w:qFormat/>
    <w:uiPriority w:val="0"/>
    <w:pPr>
      <w:spacing w:after="0" w:line="360" w:lineRule="auto"/>
      <w:jc w:val="center"/>
    </w:pPr>
    <w:rPr>
      <w:b/>
      <w:color w:val="000000"/>
      <w:kern w:val="40"/>
      <w:sz w:val="24"/>
    </w:rPr>
  </w:style>
  <w:style w:type="paragraph" w:customStyle="1" w:styleId="16">
    <w:name w:val="Hu表头"/>
    <w:basedOn w:val="1"/>
    <w:qFormat/>
    <w:uiPriority w:val="0"/>
    <w:pPr>
      <w:adjustRightInd w:val="0"/>
      <w:snapToGrid w:val="0"/>
      <w:spacing w:line="400" w:lineRule="exact"/>
      <w:jc w:val="center"/>
      <w:textAlignment w:val="baseline"/>
    </w:pPr>
    <w:rPr>
      <w:b/>
      <w:color w:val="000000"/>
      <w:szCs w:val="21"/>
    </w:rPr>
  </w:style>
  <w:style w:type="paragraph" w:customStyle="1" w:styleId="17">
    <w:name w:val="Hu表内"/>
    <w:basedOn w:val="1"/>
    <w:qFormat/>
    <w:uiPriority w:val="0"/>
    <w:pPr>
      <w:adjustRightInd w:val="0"/>
      <w:spacing w:line="240" w:lineRule="atLeast"/>
      <w:ind w:firstLine="420" w:firstLineChars="200"/>
      <w:jc w:val="center"/>
      <w:textAlignment w:val="baseline"/>
    </w:pPr>
    <w:rPr>
      <w:kern w:val="0"/>
      <w:szCs w:val="21"/>
    </w:rPr>
  </w:style>
  <w:style w:type="paragraph" w:customStyle="1" w:styleId="18">
    <w:name w:val="一级"/>
    <w:qFormat/>
    <w:uiPriority w:val="0"/>
    <w:pPr>
      <w:spacing w:before="140" w:afterLines="50" w:line="440" w:lineRule="exact"/>
      <w:jc w:val="center"/>
      <w:outlineLvl w:val="0"/>
    </w:pPr>
    <w:rPr>
      <w:rFonts w:ascii="宋体" w:hAnsi="宋体" w:eastAsia="黑体" w:cs="宋体"/>
      <w:b/>
      <w:sz w:val="32"/>
      <w:szCs w:val="32"/>
      <w:lang w:val="en-US" w:eastAsia="zh-CN" w:bidi="ar-SA"/>
    </w:rPr>
  </w:style>
  <w:style w:type="paragraph" w:customStyle="1" w:styleId="19">
    <w:name w:val="四级"/>
    <w:basedOn w:val="1"/>
    <w:qFormat/>
    <w:uiPriority w:val="0"/>
    <w:pPr>
      <w:widowControl/>
      <w:spacing w:beforeLines="25" w:afterLines="25" w:line="440" w:lineRule="exact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三级"/>
    <w:basedOn w:val="1"/>
    <w:qFormat/>
    <w:uiPriority w:val="0"/>
    <w:pPr>
      <w:widowControl/>
      <w:spacing w:beforeLines="50" w:afterLines="50" w:line="440" w:lineRule="exact"/>
      <w:jc w:val="left"/>
      <w:outlineLvl w:val="2"/>
    </w:pPr>
    <w:rPr>
      <w:rFonts w:ascii="黑体" w:hAnsi="黑体" w:eastAsia="黑体"/>
      <w:b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7111</Words>
  <Characters>7957</Characters>
  <Lines>0</Lines>
  <Paragraphs>0</Paragraphs>
  <TotalTime>0</TotalTime>
  <ScaleCrop>false</ScaleCrop>
  <LinksUpToDate>false</LinksUpToDate>
  <CharactersWithSpaces>8571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2017-08-21T06:38:00Z</dcterms:created>
  <dc:creator>Administrator</dc:creator>
  <cp:lastModifiedBy>星光-小见</cp:lastModifiedBy>
  <cp:lastPrinted>2017-11-27T05:28:00Z</cp:lastPrinted>
  <dcterms:modified xsi:type="dcterms:W3CDTF">2018-08-29T09:08:16Z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