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0" w:leftChars="0" w:firstLine="0" w:firstLineChars="0"/>
        <w:jc w:val="both"/>
        <w:rPr>
          <w:rFonts w:hint="default" w:ascii="Times New Roman" w:hAnsi="Times New Roman" w:eastAsia="宋体" w:cs="Times New Roman"/>
          <w:sz w:val="28"/>
          <w:szCs w:val="28"/>
          <w:lang w:val="en-US" w:eastAsia="zh-CN"/>
        </w:rPr>
      </w:pPr>
      <w:bookmarkStart w:id="0" w:name="_Toc24044"/>
      <w:bookmarkStart w:id="1" w:name="_Toc26379"/>
      <w:bookmarkStart w:id="2" w:name="_Toc7723"/>
      <w:bookmarkStart w:id="3" w:name="_Toc30653"/>
      <w:r>
        <w:rPr>
          <w:rFonts w:hint="default" w:ascii="Times New Roman" w:hAnsi="Times New Roman" w:eastAsia="宋体" w:cs="Times New Roman"/>
          <w:sz w:val="28"/>
          <w:szCs w:val="28"/>
          <w:lang w:val="en-US" w:eastAsia="zh-CN"/>
        </w:rPr>
        <w:t>3.3 生产工艺</w:t>
      </w:r>
      <w:bookmarkEnd w:id="0"/>
    </w:p>
    <w:p>
      <w:pPr>
        <w:pStyle w:val="2"/>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eastAsia="宋体" w:cs="Times New Roman"/>
          <w:b w:val="0"/>
          <w:bCs w:val="0"/>
          <w:color w:val="auto"/>
          <w:kern w:val="2"/>
          <w:sz w:val="28"/>
          <w:szCs w:val="28"/>
          <w:lang w:val="en-US" w:eastAsia="zh-CN" w:bidi="ar-SA"/>
        </w:rPr>
      </w:pPr>
      <w:bookmarkStart w:id="4" w:name="_Toc16392"/>
      <w:r>
        <w:rPr>
          <w:rFonts w:hint="default" w:ascii="Times New Roman" w:hAnsi="Times New Roman" w:eastAsia="宋体" w:cs="Times New Roman"/>
          <w:b w:val="0"/>
          <w:bCs w:val="0"/>
          <w:color w:val="auto"/>
          <w:kern w:val="2"/>
          <w:sz w:val="28"/>
          <w:szCs w:val="28"/>
          <w:lang w:val="en-US" w:eastAsia="zh-CN" w:bidi="ar-SA"/>
        </w:rPr>
        <w:t>3.3.1加油工艺</w:t>
      </w:r>
      <w:bookmarkEnd w:id="4"/>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加油时启动加油机，通过潜油泵将油品经地埋管道送入加油机内，经计量装置及加油枪加入用户车辆油箱，完成加油工作，加油工艺流程见图</w:t>
      </w:r>
      <w:r>
        <w:rPr>
          <w:rFonts w:hint="default" w:ascii="Times New Roman" w:hAnsi="Times New Roman" w:eastAsia="宋体" w:cs="Times New Roman"/>
          <w:sz w:val="28"/>
          <w:szCs w:val="28"/>
          <w:lang w:val="en-US" w:eastAsia="zh-CN"/>
        </w:rPr>
        <w:t>3-3</w:t>
      </w:r>
      <w:r>
        <w:rPr>
          <w:rFonts w:hint="default" w:ascii="Times New Roman" w:hAnsi="Times New Roman" w:eastAsia="宋体" w:cs="Times New Roman"/>
          <w:sz w:val="28"/>
          <w:szCs w:val="28"/>
        </w:rPr>
        <w:t>。</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kern w:val="0"/>
          <w:sz w:val="28"/>
          <w:szCs w:val="28"/>
        </w:rPr>
        <mc:AlternateContent>
          <mc:Choice Requires="wps">
            <w:drawing>
              <wp:anchor distT="0" distB="0" distL="114300" distR="114300" simplePos="0" relativeHeight="1085959168" behindDoc="0" locked="0" layoutInCell="1" allowOverlap="1">
                <wp:simplePos x="0" y="0"/>
                <wp:positionH relativeFrom="column">
                  <wp:posOffset>1296035</wp:posOffset>
                </wp:positionH>
                <wp:positionV relativeFrom="paragraph">
                  <wp:posOffset>1167765</wp:posOffset>
                </wp:positionV>
                <wp:extent cx="2454275" cy="339090"/>
                <wp:effectExtent l="0" t="0" r="0" b="0"/>
                <wp:wrapNone/>
                <wp:docPr id="5" name="矩形 505"/>
                <wp:cNvGraphicFramePr/>
                <a:graphic xmlns:a="http://schemas.openxmlformats.org/drawingml/2006/main">
                  <a:graphicData uri="http://schemas.microsoft.com/office/word/2010/wordprocessingShape">
                    <wps:wsp>
                      <wps:cNvSpPr/>
                      <wps:spPr>
                        <a:xfrm>
                          <a:off x="0" y="0"/>
                          <a:ext cx="2454275" cy="339090"/>
                        </a:xfrm>
                        <a:prstGeom prst="rect">
                          <a:avLst/>
                        </a:prstGeom>
                        <a:noFill/>
                        <a:ln w="9525">
                          <a:noFill/>
                        </a:ln>
                      </wps:spPr>
                      <wps:txbx>
                        <w:txbxContent>
                          <w:p>
                            <w:pPr>
                              <w:spacing w:line="360" w:lineRule="auto"/>
                              <w:jc w:val="center"/>
                              <w:rPr>
                                <w:b/>
                                <w:sz w:val="24"/>
                              </w:rPr>
                            </w:pPr>
                            <w:r>
                              <w:rPr>
                                <w:rFonts w:hint="eastAsia"/>
                                <w:b/>
                                <w:sz w:val="21"/>
                                <w:szCs w:val="21"/>
                              </w:rPr>
                              <w:t>图</w:t>
                            </w:r>
                            <w:r>
                              <w:rPr>
                                <w:rFonts w:hint="eastAsia" w:cs="Times New Roman"/>
                                <w:b/>
                                <w:sz w:val="21"/>
                                <w:szCs w:val="21"/>
                                <w:lang w:val="en-US" w:eastAsia="zh-CN"/>
                              </w:rPr>
                              <w:t>3-3</w:t>
                            </w:r>
                            <w:r>
                              <w:rPr>
                                <w:rFonts w:hint="default" w:ascii="Times New Roman" w:hAnsi="Times New Roman" w:cs="Times New Roman"/>
                                <w:b/>
                                <w:sz w:val="21"/>
                                <w:szCs w:val="21"/>
                              </w:rPr>
                              <w:t xml:space="preserve"> </w:t>
                            </w:r>
                            <w:r>
                              <w:rPr>
                                <w:rFonts w:hint="eastAsia"/>
                                <w:b/>
                                <w:sz w:val="21"/>
                                <w:szCs w:val="21"/>
                              </w:rPr>
                              <w:t>加油站加油工艺流程</w:t>
                            </w:r>
                            <w:r>
                              <w:rPr>
                                <w:rFonts w:hint="eastAsia"/>
                                <w:b/>
                                <w:sz w:val="24"/>
                              </w:rPr>
                              <w:t>图</w:t>
                            </w:r>
                          </w:p>
                        </w:txbxContent>
                      </wps:txbx>
                      <wps:bodyPr upright="1"/>
                    </wps:wsp>
                  </a:graphicData>
                </a:graphic>
              </wp:anchor>
            </w:drawing>
          </mc:Choice>
          <mc:Fallback>
            <w:pict>
              <v:rect id="矩形 505" o:spid="_x0000_s1026" o:spt="1" style="position:absolute;left:0pt;margin-left:102.05pt;margin-top:91.95pt;height:26.7pt;width:193.25pt;z-index:1085959168;mso-width-relative:page;mso-height-relative:page;" filled="f" stroked="f" coordsize="21600,21600" o:gfxdata="UEsDBAoAAAAAAIdO4kAAAAAAAAAAAAAAAAAEAAAAZHJzL1BLAwQUAAAACACHTuJAXwaqmdwAAAAL&#10;AQAADwAAAGRycy9kb3ducmV2LnhtbE2Py07DMBBF90j8gzVIbBC100AfIU4XlRAVQqpIS9duMiQR&#10;8TiN3aT8PcMKlqNzde+ZdHWxrRiw940jDdFEgUAqXNlQpWG/e75fgPDBUGlaR6jhGz2ssuur1CSl&#10;G+kdhzxUgkvIJ0ZDHUKXSOmLGq3xE9chMft0vTWBz76SZW9GLretnCo1k9Y0xAu16XBdY/GVn62G&#10;sdgOh93bi9zeHTaOTpvTOv941fr2JlJPIAJewl8YfvVZHTJ2OrozlV60GqbqIeIog0W8BMGJx6Wa&#10;gTgyiucxyCyV/3/IfgBQSwMEFAAAAAgAh07iQIYfcAWSAQAA/gIAAA4AAABkcnMvZTJvRG9jLnht&#10;bK1SS27bMBDdF8gdCO5ryXLUxoJlbwxnE7QB0hyApkiLAH8Y0pZ8mgDd9RA5TtBrdMg4dtHsgm6G&#10;HM7Mm3lvuFiNRpODgKCcbel0UlIiLHedsruWPv7YfL6hJERmO6adFS09ikBXy6tPi8E3onK9050A&#10;giA2NINvaR+jb4oi8F4YFibOC4tB6cCwiC7sig7YgOhGF1VZfikGB50Hx0UI+Lp+DdJlxpdS8Phd&#10;yiAi0S3F2WK2kO022WK5YM0OmO8VP43BPjCFYcpi0zPUmkVG9qDeQRnFwQUn44Q7UzgpFReZA7KZ&#10;lv+weeiZF5kLihP8Wabw/2D5t8M9ENW1tKbEMoMr+v306+X5J6nLOqkz+NBg0oO/h5MX8JqojhJM&#10;OpEEGbOix7OiYoyE42N1XV9XXxGaY2w2m5fzLHlxqfYQ4q1whqRLSwE3loVkh7sQsSOmvqWkZtZt&#10;lNZ5a9qSoaXzuqpzwTmCFdpiYZr8ddZ0i+N2PBHYuu6IpPce1K7HntPEM6ejyLnj6UOkLf7t56zL&#10;t1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8GqpncAAAACwEAAA8AAAAAAAAAAQAgAAAAIgAA&#10;AGRycy9kb3ducmV2LnhtbFBLAQIUABQAAAAIAIdO4kCGH3AFkgEAAP4CAAAOAAAAAAAAAAEAIAAA&#10;ACsBAABkcnMvZTJvRG9jLnhtbFBLBQYAAAAABgAGAFkBAAAvBQAAAAA=&#10;">
                <v:fill on="f" focussize="0,0"/>
                <v:stroke on="f"/>
                <v:imagedata o:title=""/>
                <o:lock v:ext="edit" aspectratio="f"/>
                <v:textbox>
                  <w:txbxContent>
                    <w:p>
                      <w:pPr>
                        <w:spacing w:line="360" w:lineRule="auto"/>
                        <w:jc w:val="center"/>
                        <w:rPr>
                          <w:b/>
                          <w:sz w:val="24"/>
                        </w:rPr>
                      </w:pPr>
                      <w:r>
                        <w:rPr>
                          <w:rFonts w:hint="eastAsia"/>
                          <w:b/>
                          <w:sz w:val="21"/>
                          <w:szCs w:val="21"/>
                        </w:rPr>
                        <w:t>图</w:t>
                      </w:r>
                      <w:r>
                        <w:rPr>
                          <w:rFonts w:hint="eastAsia" w:cs="Times New Roman"/>
                          <w:b/>
                          <w:sz w:val="21"/>
                          <w:szCs w:val="21"/>
                          <w:lang w:val="en-US" w:eastAsia="zh-CN"/>
                        </w:rPr>
                        <w:t>3-3</w:t>
                      </w:r>
                      <w:r>
                        <w:rPr>
                          <w:rFonts w:hint="default" w:ascii="Times New Roman" w:hAnsi="Times New Roman" w:cs="Times New Roman"/>
                          <w:b/>
                          <w:sz w:val="21"/>
                          <w:szCs w:val="21"/>
                        </w:rPr>
                        <w:t xml:space="preserve"> </w:t>
                      </w:r>
                      <w:r>
                        <w:rPr>
                          <w:rFonts w:hint="eastAsia"/>
                          <w:b/>
                          <w:sz w:val="21"/>
                          <w:szCs w:val="21"/>
                        </w:rPr>
                        <w:t>加油站加油工艺流程</w:t>
                      </w:r>
                      <w:r>
                        <w:rPr>
                          <w:rFonts w:hint="eastAsia"/>
                          <w:b/>
                          <w:sz w:val="24"/>
                        </w:rPr>
                        <w:t>图</w:t>
                      </w:r>
                    </w:p>
                  </w:txbxContent>
                </v:textbox>
              </v:rect>
            </w:pict>
          </mc:Fallback>
        </mc:AlternateContent>
      </w:r>
      <w:r>
        <w:rPr>
          <w:rFonts w:hint="default" w:ascii="Times New Roman" w:hAnsi="Times New Roman" w:eastAsia="宋体" w:cs="Times New Roman"/>
          <w:color w:val="auto"/>
          <w:sz w:val="28"/>
          <w:szCs w:val="28"/>
        </w:rPr>
        <w:drawing>
          <wp:inline distT="0" distB="0" distL="114300" distR="114300">
            <wp:extent cx="5105400" cy="1137920"/>
            <wp:effectExtent l="0" t="0" r="0" b="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6">
                      <a:clrChange>
                        <a:clrFrom>
                          <a:srgbClr val="FFFFFF">
                            <a:alpha val="100000"/>
                          </a:srgbClr>
                        </a:clrFrom>
                        <a:clrTo>
                          <a:srgbClr val="FFFFFF">
                            <a:alpha val="100000"/>
                            <a:alpha val="0"/>
                          </a:srgbClr>
                        </a:clrTo>
                      </a:clrChange>
                    </a:blip>
                    <a:srcRect l="22212" t="47118" r="27132" b="35069"/>
                    <a:stretch>
                      <a:fillRect/>
                    </a:stretch>
                  </pic:blipFill>
                  <pic:spPr>
                    <a:xfrm>
                      <a:off x="0" y="0"/>
                      <a:ext cx="5105400" cy="1137920"/>
                    </a:xfrm>
                    <a:prstGeom prst="rect">
                      <a:avLst/>
                    </a:prstGeom>
                    <a:noFill/>
                    <a:ln w="9525">
                      <a:noFill/>
                    </a:ln>
                  </pic:spPr>
                </pic:pic>
              </a:graphicData>
            </a:graphic>
          </wp:inline>
        </w:drawing>
      </w:r>
    </w:p>
    <w:p>
      <w:pPr>
        <w:pStyle w:val="2"/>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eastAsia="宋体" w:cs="Times New Roman"/>
          <w:b w:val="0"/>
          <w:bCs w:val="0"/>
          <w:color w:val="auto"/>
          <w:kern w:val="2"/>
          <w:sz w:val="24"/>
          <w:szCs w:val="24"/>
          <w:lang w:val="en-US" w:eastAsia="zh-CN" w:bidi="ar-SA"/>
        </w:rPr>
      </w:pPr>
    </w:p>
    <w:p>
      <w:pPr>
        <w:pStyle w:val="2"/>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3.3.2生产工艺及排污流程图</w:t>
      </w:r>
      <w:bookmarkEnd w:id="1"/>
    </w:p>
    <w:p>
      <w:pPr>
        <w:spacing w:line="360" w:lineRule="auto"/>
        <w:ind w:firstLine="591" w:firstLineChars="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本项目生产工艺及产排污流程见图3-4。</w:t>
      </w:r>
    </w:p>
    <w:p>
      <w:pPr>
        <w:pStyle w:val="9"/>
        <w:adjustRightInd w:val="0"/>
        <w:snapToGrid w:val="0"/>
        <w:spacing w:line="360" w:lineRule="auto"/>
        <w:ind w:left="0" w:leftChars="0"/>
        <w:jc w:val="center"/>
        <w:rPr>
          <w:rFonts w:hint="default" w:ascii="Times New Roman" w:hAnsi="Times New Roman" w:eastAsia="宋体" w:cs="Times New Roman"/>
          <w:sz w:val="24"/>
          <w:szCs w:val="24"/>
        </w:rPr>
      </w:pPr>
      <w:bookmarkStart w:id="8" w:name="_GoBack"/>
      <w:bookmarkEnd w:id="8"/>
      <w:r>
        <w:rPr>
          <w:rFonts w:hint="default" w:ascii="Times New Roman" w:hAnsi="Times New Roman" w:eastAsia="宋体" w:cs="Times New Roman"/>
          <w:color w:val="auto"/>
          <w:kern w:val="0"/>
          <w:sz w:val="24"/>
          <w:szCs w:val="24"/>
        </w:rPr>
        <mc:AlternateContent>
          <mc:Choice Requires="wps">
            <w:drawing>
              <wp:anchor distT="0" distB="0" distL="114300" distR="114300" simplePos="0" relativeHeight="1085930496" behindDoc="0" locked="0" layoutInCell="1" allowOverlap="1">
                <wp:simplePos x="0" y="0"/>
                <wp:positionH relativeFrom="column">
                  <wp:posOffset>1357630</wp:posOffset>
                </wp:positionH>
                <wp:positionV relativeFrom="paragraph">
                  <wp:posOffset>185420</wp:posOffset>
                </wp:positionV>
                <wp:extent cx="2641600" cy="313690"/>
                <wp:effectExtent l="0" t="0" r="0" b="0"/>
                <wp:wrapNone/>
                <wp:docPr id="6" name="矩形 487"/>
                <wp:cNvGraphicFramePr/>
                <a:graphic xmlns:a="http://schemas.openxmlformats.org/drawingml/2006/main">
                  <a:graphicData uri="http://schemas.microsoft.com/office/word/2010/wordprocessingShape">
                    <wps:wsp>
                      <wps:cNvSpPr/>
                      <wps:spPr>
                        <a:xfrm>
                          <a:off x="0" y="0"/>
                          <a:ext cx="2641600" cy="313690"/>
                        </a:xfrm>
                        <a:prstGeom prst="rect">
                          <a:avLst/>
                        </a:prstGeom>
                        <a:noFill/>
                        <a:ln w="9525">
                          <a:noFill/>
                        </a:ln>
                      </wps:spPr>
                      <wps:txbx>
                        <w:txbxContent>
                          <w:p>
                            <w:pPr>
                              <w:spacing w:line="240" w:lineRule="auto"/>
                              <w:rPr>
                                <w:b/>
                                <w:sz w:val="21"/>
                                <w:szCs w:val="21"/>
                              </w:rPr>
                            </w:pPr>
                            <w:r>
                              <w:rPr>
                                <w:rFonts w:hint="eastAsia"/>
                                <w:b/>
                                <w:sz w:val="21"/>
                                <w:szCs w:val="21"/>
                              </w:rPr>
                              <w:t>图</w:t>
                            </w:r>
                            <w:r>
                              <w:rPr>
                                <w:rFonts w:hint="eastAsia" w:cs="Times New Roman"/>
                                <w:b/>
                                <w:sz w:val="21"/>
                                <w:szCs w:val="21"/>
                                <w:lang w:val="en-US" w:eastAsia="zh-CN"/>
                              </w:rPr>
                              <w:t>3</w:t>
                            </w:r>
                            <w:r>
                              <w:rPr>
                                <w:rFonts w:hint="default" w:ascii="Times New Roman" w:hAnsi="Times New Roman" w:cs="Times New Roman"/>
                                <w:b/>
                                <w:sz w:val="21"/>
                                <w:szCs w:val="21"/>
                                <w:lang w:val="en-US" w:eastAsia="zh-CN"/>
                              </w:rPr>
                              <w:t>-4</w:t>
                            </w:r>
                            <w:r>
                              <w:rPr>
                                <w:rFonts w:hint="eastAsia" w:cs="Times New Roman"/>
                                <w:b/>
                                <w:sz w:val="21"/>
                                <w:szCs w:val="21"/>
                                <w:lang w:val="en-US" w:eastAsia="zh-CN"/>
                              </w:rPr>
                              <w:t xml:space="preserve">  </w:t>
                            </w:r>
                            <w:r>
                              <w:rPr>
                                <w:rFonts w:hint="default" w:ascii="Times New Roman" w:hAnsi="Times New Roman" w:eastAsia="宋体" w:cs="Times New Roman"/>
                                <w:b/>
                                <w:bCs/>
                                <w:color w:val="auto"/>
                                <w:sz w:val="24"/>
                                <w:szCs w:val="24"/>
                                <w:lang w:val="en-US" w:eastAsia="zh-CN"/>
                              </w:rPr>
                              <w:t>生产工艺及产排污流程</w:t>
                            </w:r>
                          </w:p>
                        </w:txbxContent>
                      </wps:txbx>
                      <wps:bodyPr upright="1"/>
                    </wps:wsp>
                  </a:graphicData>
                </a:graphic>
              </wp:anchor>
            </w:drawing>
          </mc:Choice>
          <mc:Fallback>
            <w:pict>
              <v:rect id="矩形 487" o:spid="_x0000_s1026" o:spt="1" style="position:absolute;left:0pt;margin-left:106.9pt;margin-top:14.6pt;height:24.7pt;width:208pt;z-index:1085930496;mso-width-relative:page;mso-height-relative:page;" filled="f" stroked="f" coordsize="21600,21600" o:gfxdata="UEsDBAoAAAAAAIdO4kAAAAAAAAAAAAAAAAAEAAAAZHJzL1BLAwQUAAAACACHTuJAOs6nrNoAAAAJ&#10;AQAADwAAAGRycy9kb3ducmV2LnhtbE2PQUvDQBCF74L/YRnBi9hNIsQ2zaaHglhEKE1tz9vsmASz&#10;s2l2m9R/73jS28ybx3vf5Kur7cSIg28dKYhnEQikypmWagUf+5fHOQgfNBndOUIF3+hhVdze5Doz&#10;bqIdjmWoBYeQz7SCJoQ+k9JXDVrtZ65H4tunG6wOvA61NIOeONx2MomiVFrdEjc0usd1g9VXebEK&#10;pmo7Hvfvr3L7cNw4Om/O6/LwptT9XRwtQQS8hj8z/OIzOhTMdHIXMl50CpL4idEDD4sEBBvSZMHC&#10;ScHzPAVZ5PL/B8UPUEsDBBQAAAAIAIdO4kCyigF8jgEAAP4CAAAOAAAAZHJzL2Uyb0RvYy54bWyt&#10;UktOwzAQ3SNxB8t7mqRAgKgpGwQbBEjAAVzHbiz5p7Fp0tMgseMQHAdxDcamFAQ7xGbs8cy8mffG&#10;s9PRaLISEJSzLa0mJSXCctcpu2zp/d353jElITLbMe2saOlaBHo6392ZDb4RU9c73QkgCGJDM/iW&#10;9jH6pigC74VhYeK8sBiUDgyL6MKy6IANiG50MS3LuhgcdB4cFyHg69lHkM4zvpSCx2spg4hEtxRn&#10;i9lCtotki/mMNUtgvld8Mwb7wxSGKYtNt1BnLDLyAOoXlFEcXHAyTrgzhZNScZE5IJuq/MHmtmde&#10;ZC4oTvBbmcL/wfKr1Q0Q1bW0psQygyt6e3x+fXkiB8dHSZ3BhwaTbv0NbLyA10R1lGDSiSTImBVd&#10;bxUVYyQcH6f1QVWXKDzH2H61X59kyYuvag8hXghnSLq0FHBjWUi2ugwRO2LqZ0pqZt250jpvTVsy&#10;tPTkcHqYC7YRrNAWC9PkH7OmWxwX44bAwnVrJP3gQS177FklnjkdRc4dNx8ibfG7n7O+vu38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DrOp6zaAAAACQEAAA8AAAAAAAAAAQAgAAAAIgAAAGRycy9k&#10;b3ducmV2LnhtbFBLAQIUABQAAAAIAIdO4kCyigF8jgEAAP4CAAAOAAAAAAAAAAEAIAAAACkBAABk&#10;cnMvZTJvRG9jLnhtbFBLBQYAAAAABgAGAFkBAAApBQAAAAA=&#10;">
                <v:fill on="f" focussize="0,0"/>
                <v:stroke on="f"/>
                <v:imagedata o:title=""/>
                <o:lock v:ext="edit" aspectratio="f"/>
                <v:textbox>
                  <w:txbxContent>
                    <w:p>
                      <w:pPr>
                        <w:spacing w:line="240" w:lineRule="auto"/>
                        <w:rPr>
                          <w:b/>
                          <w:sz w:val="21"/>
                          <w:szCs w:val="21"/>
                        </w:rPr>
                      </w:pPr>
                      <w:r>
                        <w:rPr>
                          <w:rFonts w:hint="eastAsia"/>
                          <w:b/>
                          <w:sz w:val="21"/>
                          <w:szCs w:val="21"/>
                        </w:rPr>
                        <w:t>图</w:t>
                      </w:r>
                      <w:r>
                        <w:rPr>
                          <w:rFonts w:hint="eastAsia" w:cs="Times New Roman"/>
                          <w:b/>
                          <w:sz w:val="21"/>
                          <w:szCs w:val="21"/>
                          <w:lang w:val="en-US" w:eastAsia="zh-CN"/>
                        </w:rPr>
                        <w:t>3</w:t>
                      </w:r>
                      <w:r>
                        <w:rPr>
                          <w:rFonts w:hint="default" w:ascii="Times New Roman" w:hAnsi="Times New Roman" w:cs="Times New Roman"/>
                          <w:b/>
                          <w:sz w:val="21"/>
                          <w:szCs w:val="21"/>
                          <w:lang w:val="en-US" w:eastAsia="zh-CN"/>
                        </w:rPr>
                        <w:t>-4</w:t>
                      </w:r>
                      <w:r>
                        <w:rPr>
                          <w:rFonts w:hint="eastAsia" w:cs="Times New Roman"/>
                          <w:b/>
                          <w:sz w:val="21"/>
                          <w:szCs w:val="21"/>
                          <w:lang w:val="en-US" w:eastAsia="zh-CN"/>
                        </w:rPr>
                        <w:t xml:space="preserve">  </w:t>
                      </w:r>
                      <w:r>
                        <w:rPr>
                          <w:rFonts w:hint="default" w:ascii="Times New Roman" w:hAnsi="Times New Roman" w:eastAsia="宋体" w:cs="Times New Roman"/>
                          <w:b/>
                          <w:bCs/>
                          <w:color w:val="auto"/>
                          <w:sz w:val="24"/>
                          <w:szCs w:val="24"/>
                          <w:lang w:val="en-US" w:eastAsia="zh-CN"/>
                        </w:rPr>
                        <w:t>生产工艺及产排污流程</w:t>
                      </w:r>
                    </w:p>
                  </w:txbxContent>
                </v:textbox>
              </v:rect>
            </w:pict>
          </mc:Fallback>
        </mc:AlternateContent>
      </w:r>
    </w:p>
    <w:p>
      <w:pPr>
        <w:pStyle w:val="5"/>
        <w:spacing w:line="360" w:lineRule="auto"/>
        <w:ind w:left="0" w:leftChars="0" w:firstLine="0" w:firstLineChars="0"/>
        <w:jc w:val="both"/>
        <w:rPr>
          <w:rFonts w:hint="default" w:ascii="Times New Roman" w:hAnsi="Times New Roman" w:eastAsia="宋体" w:cs="Times New Roman"/>
          <w:sz w:val="24"/>
          <w:szCs w:val="24"/>
          <w:lang w:val="en-US" w:eastAsia="zh-CN"/>
        </w:rPr>
      </w:pPr>
    </w:p>
    <w:p>
      <w:pPr>
        <w:pStyle w:val="3"/>
        <w:spacing w:line="360" w:lineRule="auto"/>
        <w:ind w:left="0" w:leftChars="0" w:firstLine="0" w:firstLineChars="0"/>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3.4工程变更情况</w:t>
      </w:r>
      <w:bookmarkEnd w:id="2"/>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right="0" w:firstLine="560" w:firstLineChars="200"/>
        <w:jc w:val="both"/>
        <w:textAlignment w:val="auto"/>
        <w:outlineLvl w:val="9"/>
        <w:rPr>
          <w:rFonts w:hint="default" w:ascii="Times New Roman" w:hAnsi="Times New Roman" w:cs="Times New Roman"/>
          <w:color w:val="auto"/>
          <w:sz w:val="28"/>
          <w:szCs w:val="28"/>
          <w:lang w:val="en-US" w:eastAsia="zh-CN"/>
        </w:rPr>
      </w:pPr>
      <w:r>
        <w:rPr>
          <w:rFonts w:hint="eastAsia" w:ascii="Times New Roman" w:hAnsi="Times New Roman"/>
          <w:b w:val="0"/>
          <w:bCs/>
          <w:color w:val="000000"/>
          <w:position w:val="0"/>
          <w:sz w:val="28"/>
          <w:szCs w:val="28"/>
          <w:lang w:eastAsia="zh-CN"/>
        </w:rPr>
        <w:t>由于</w:t>
      </w:r>
      <w:r>
        <w:rPr>
          <w:rFonts w:hint="eastAsia"/>
          <w:b w:val="0"/>
          <w:bCs/>
          <w:color w:val="000000"/>
          <w:position w:val="0"/>
          <w:sz w:val="28"/>
          <w:szCs w:val="28"/>
          <w:lang w:val="en-US" w:eastAsia="zh-CN"/>
        </w:rPr>
        <w:t>原计划建设50m</w:t>
      </w:r>
      <w:r>
        <w:rPr>
          <w:rFonts w:hint="eastAsia"/>
          <w:b w:val="0"/>
          <w:bCs/>
          <w:color w:val="000000"/>
          <w:position w:val="0"/>
          <w:sz w:val="28"/>
          <w:szCs w:val="28"/>
          <w:vertAlign w:val="superscript"/>
          <w:lang w:val="en-US" w:eastAsia="zh-CN"/>
        </w:rPr>
        <w:t>3</w:t>
      </w:r>
      <w:r>
        <w:rPr>
          <w:rFonts w:hint="eastAsia"/>
          <w:b w:val="0"/>
          <w:bCs/>
          <w:color w:val="000000"/>
          <w:position w:val="0"/>
          <w:sz w:val="28"/>
          <w:szCs w:val="28"/>
          <w:vertAlign w:val="baseline"/>
          <w:lang w:val="en-US" w:eastAsia="zh-CN"/>
        </w:rPr>
        <w:t>柴油罐3个，30</w:t>
      </w:r>
      <w:r>
        <w:rPr>
          <w:rFonts w:hint="eastAsia"/>
          <w:b w:val="0"/>
          <w:bCs/>
          <w:color w:val="000000"/>
          <w:position w:val="0"/>
          <w:sz w:val="28"/>
          <w:szCs w:val="28"/>
          <w:lang w:val="en-US" w:eastAsia="zh-CN"/>
        </w:rPr>
        <w:t>m</w:t>
      </w:r>
      <w:r>
        <w:rPr>
          <w:rFonts w:hint="eastAsia"/>
          <w:b w:val="0"/>
          <w:bCs/>
          <w:color w:val="000000"/>
          <w:position w:val="0"/>
          <w:sz w:val="28"/>
          <w:szCs w:val="28"/>
          <w:vertAlign w:val="superscript"/>
          <w:lang w:val="en-US" w:eastAsia="zh-CN"/>
        </w:rPr>
        <w:t>3</w:t>
      </w:r>
      <w:r>
        <w:rPr>
          <w:rFonts w:hint="eastAsia"/>
          <w:b w:val="0"/>
          <w:bCs/>
          <w:color w:val="000000"/>
          <w:position w:val="0"/>
          <w:sz w:val="28"/>
          <w:szCs w:val="28"/>
          <w:vertAlign w:val="baseline"/>
          <w:lang w:val="en-US" w:eastAsia="zh-CN"/>
        </w:rPr>
        <w:t>汽油罐3个，属于一级加油站，但经过考察周边情况及资金情况，最后实际建设</w:t>
      </w:r>
      <w:r>
        <w:rPr>
          <w:rFonts w:hint="eastAsia"/>
          <w:b w:val="0"/>
          <w:bCs/>
          <w:color w:val="000000"/>
          <w:position w:val="0"/>
          <w:sz w:val="28"/>
          <w:szCs w:val="28"/>
          <w:lang w:val="en-US" w:eastAsia="zh-CN"/>
        </w:rPr>
        <w:t>50m</w:t>
      </w:r>
      <w:r>
        <w:rPr>
          <w:rFonts w:hint="eastAsia"/>
          <w:b w:val="0"/>
          <w:bCs/>
          <w:color w:val="000000"/>
          <w:position w:val="0"/>
          <w:sz w:val="28"/>
          <w:szCs w:val="28"/>
          <w:vertAlign w:val="superscript"/>
          <w:lang w:val="en-US" w:eastAsia="zh-CN"/>
        </w:rPr>
        <w:t>3</w:t>
      </w:r>
      <w:r>
        <w:rPr>
          <w:rFonts w:hint="eastAsia"/>
          <w:b w:val="0"/>
          <w:bCs/>
          <w:color w:val="000000"/>
          <w:position w:val="0"/>
          <w:sz w:val="28"/>
          <w:szCs w:val="28"/>
          <w:vertAlign w:val="baseline"/>
          <w:lang w:val="en-US" w:eastAsia="zh-CN"/>
        </w:rPr>
        <w:t>柴油罐3个，30</w:t>
      </w:r>
      <w:r>
        <w:rPr>
          <w:rFonts w:hint="eastAsia"/>
          <w:b w:val="0"/>
          <w:bCs/>
          <w:color w:val="000000"/>
          <w:position w:val="0"/>
          <w:sz w:val="28"/>
          <w:szCs w:val="28"/>
          <w:lang w:val="en-US" w:eastAsia="zh-CN"/>
        </w:rPr>
        <w:t>m</w:t>
      </w:r>
      <w:r>
        <w:rPr>
          <w:rFonts w:hint="eastAsia"/>
          <w:b w:val="0"/>
          <w:bCs/>
          <w:color w:val="000000"/>
          <w:position w:val="0"/>
          <w:sz w:val="28"/>
          <w:szCs w:val="28"/>
          <w:vertAlign w:val="superscript"/>
          <w:lang w:val="en-US" w:eastAsia="zh-CN"/>
        </w:rPr>
        <w:t>3</w:t>
      </w:r>
      <w:r>
        <w:rPr>
          <w:rFonts w:hint="eastAsia"/>
          <w:b w:val="0"/>
          <w:bCs/>
          <w:color w:val="000000"/>
          <w:position w:val="0"/>
          <w:sz w:val="28"/>
          <w:szCs w:val="28"/>
          <w:vertAlign w:val="baseline"/>
          <w:lang w:val="en-US" w:eastAsia="zh-CN"/>
        </w:rPr>
        <w:t>柴油罐1个，30</w:t>
      </w:r>
      <w:r>
        <w:rPr>
          <w:rFonts w:hint="eastAsia"/>
          <w:b w:val="0"/>
          <w:bCs/>
          <w:color w:val="000000"/>
          <w:position w:val="0"/>
          <w:sz w:val="28"/>
          <w:szCs w:val="28"/>
          <w:lang w:val="en-US" w:eastAsia="zh-CN"/>
        </w:rPr>
        <w:t>m</w:t>
      </w:r>
      <w:r>
        <w:rPr>
          <w:rFonts w:hint="eastAsia"/>
          <w:b w:val="0"/>
          <w:bCs/>
          <w:color w:val="000000"/>
          <w:position w:val="0"/>
          <w:sz w:val="28"/>
          <w:szCs w:val="28"/>
          <w:vertAlign w:val="superscript"/>
          <w:lang w:val="en-US" w:eastAsia="zh-CN"/>
        </w:rPr>
        <w:t>3</w:t>
      </w:r>
      <w:r>
        <w:rPr>
          <w:rFonts w:hint="eastAsia"/>
          <w:b w:val="0"/>
          <w:bCs/>
          <w:color w:val="000000"/>
          <w:position w:val="0"/>
          <w:sz w:val="28"/>
          <w:szCs w:val="28"/>
          <w:vertAlign w:val="baseline"/>
          <w:lang w:val="en-US" w:eastAsia="zh-CN"/>
        </w:rPr>
        <w:t>汽油罐2个，属于二级加油站；</w:t>
      </w:r>
      <w:r>
        <w:rPr>
          <w:rFonts w:hint="eastAsia" w:ascii="Times New Roman" w:hAnsi="Times New Roman"/>
          <w:b w:val="0"/>
          <w:bCs/>
          <w:color w:val="000000"/>
          <w:position w:val="0"/>
          <w:sz w:val="28"/>
          <w:szCs w:val="28"/>
          <w:lang w:eastAsia="zh-CN"/>
        </w:rPr>
        <w:t>原计划</w:t>
      </w:r>
      <w:r>
        <w:rPr>
          <w:rFonts w:hint="eastAsia"/>
          <w:b w:val="0"/>
          <w:bCs/>
          <w:color w:val="000000"/>
          <w:position w:val="0"/>
          <w:sz w:val="28"/>
          <w:szCs w:val="28"/>
          <w:lang w:val="en-US" w:eastAsia="zh-CN"/>
        </w:rPr>
        <w:t>建设12m</w:t>
      </w:r>
      <w:r>
        <w:rPr>
          <w:rFonts w:hint="eastAsia"/>
          <w:b w:val="0"/>
          <w:bCs/>
          <w:color w:val="000000"/>
          <w:position w:val="0"/>
          <w:sz w:val="28"/>
          <w:szCs w:val="28"/>
          <w:vertAlign w:val="superscript"/>
          <w:lang w:val="en-US" w:eastAsia="zh-CN"/>
        </w:rPr>
        <w:t>3</w:t>
      </w:r>
      <w:r>
        <w:rPr>
          <w:rFonts w:hint="eastAsia"/>
          <w:b w:val="0"/>
          <w:bCs/>
          <w:color w:val="000000"/>
          <w:position w:val="0"/>
          <w:sz w:val="28"/>
          <w:szCs w:val="28"/>
          <w:vertAlign w:val="baseline"/>
          <w:lang w:val="en-US" w:eastAsia="zh-CN"/>
        </w:rPr>
        <w:t>化粪池</w:t>
      </w:r>
      <w:r>
        <w:rPr>
          <w:rFonts w:hint="eastAsia" w:ascii="Times New Roman" w:hAnsi="Times New Roman"/>
          <w:b w:val="0"/>
          <w:bCs/>
          <w:color w:val="000000"/>
          <w:position w:val="0"/>
          <w:sz w:val="28"/>
          <w:szCs w:val="28"/>
          <w:lang w:val="en-US" w:eastAsia="zh-CN"/>
        </w:rPr>
        <w:t>，</w:t>
      </w:r>
      <w:r>
        <w:rPr>
          <w:rFonts w:hint="eastAsia"/>
          <w:b w:val="0"/>
          <w:bCs/>
          <w:color w:val="000000"/>
          <w:position w:val="0"/>
          <w:sz w:val="28"/>
          <w:szCs w:val="28"/>
          <w:lang w:val="en-US" w:eastAsia="zh-CN"/>
        </w:rPr>
        <w:t>考虑实际情况及资金情况，决定</w:t>
      </w:r>
      <w:r>
        <w:rPr>
          <w:rFonts w:hint="eastAsia" w:ascii="Times New Roman" w:hAnsi="Times New Roman"/>
          <w:b w:val="0"/>
          <w:bCs/>
          <w:color w:val="000000"/>
          <w:position w:val="0"/>
          <w:sz w:val="28"/>
          <w:szCs w:val="28"/>
          <w:lang w:val="en-US" w:eastAsia="zh-CN"/>
        </w:rPr>
        <w:t>实际</w:t>
      </w:r>
      <w:r>
        <w:rPr>
          <w:rFonts w:hint="eastAsia"/>
          <w:b w:val="0"/>
          <w:bCs/>
          <w:color w:val="000000"/>
          <w:position w:val="0"/>
          <w:sz w:val="28"/>
          <w:szCs w:val="28"/>
          <w:lang w:val="en-US" w:eastAsia="zh-CN"/>
        </w:rPr>
        <w:t>建设18m</w:t>
      </w:r>
      <w:r>
        <w:rPr>
          <w:rFonts w:hint="eastAsia"/>
          <w:b w:val="0"/>
          <w:bCs/>
          <w:color w:val="000000"/>
          <w:position w:val="0"/>
          <w:sz w:val="28"/>
          <w:szCs w:val="28"/>
          <w:vertAlign w:val="superscript"/>
          <w:lang w:val="en-US" w:eastAsia="zh-CN"/>
        </w:rPr>
        <w:t>3</w:t>
      </w:r>
      <w:r>
        <w:rPr>
          <w:rFonts w:hint="eastAsia"/>
          <w:b w:val="0"/>
          <w:bCs/>
          <w:color w:val="000000"/>
          <w:position w:val="0"/>
          <w:sz w:val="28"/>
          <w:szCs w:val="28"/>
          <w:vertAlign w:val="baseline"/>
          <w:lang w:val="en-US" w:eastAsia="zh-CN"/>
        </w:rPr>
        <w:t>化粪池；原计划不建设洗车房，后考虑到洗车业务的需求，最终加上洗车房</w:t>
      </w:r>
      <w:r>
        <w:rPr>
          <w:rFonts w:hint="eastAsia"/>
          <w:b w:val="0"/>
          <w:bCs/>
          <w:color w:val="000000"/>
          <w:position w:val="0"/>
          <w:sz w:val="28"/>
          <w:szCs w:val="28"/>
          <w:lang w:val="en-US" w:eastAsia="zh-CN"/>
        </w:rPr>
        <w:t>其实际情况和</w:t>
      </w:r>
      <w:r>
        <w:rPr>
          <w:rFonts w:hint="eastAsia" w:ascii="Times New Roman" w:hAnsi="Times New Roman"/>
          <w:b w:val="0"/>
          <w:bCs/>
          <w:color w:val="000000"/>
          <w:position w:val="0"/>
          <w:sz w:val="28"/>
          <w:szCs w:val="28"/>
          <w:lang w:val="en-US" w:eastAsia="zh-CN"/>
        </w:rPr>
        <w:t>环评要求不一致，此变更为非重大变更。</w:t>
      </w:r>
    </w:p>
    <w:p>
      <w:pPr>
        <w:pStyle w:val="5"/>
        <w:spacing w:line="360" w:lineRule="auto"/>
        <w:ind w:left="0" w:leftChars="0" w:firstLine="0" w:firstLineChars="0"/>
        <w:jc w:val="both"/>
        <w:rPr>
          <w:rFonts w:hint="default" w:ascii="Times New Roman" w:hAnsi="Times New Roman" w:eastAsia="宋体" w:cs="Times New Roman"/>
          <w:sz w:val="24"/>
          <w:szCs w:val="24"/>
          <w:lang w:val="en-US" w:eastAsia="zh-CN"/>
        </w:rPr>
      </w:pPr>
    </w:p>
    <w:p>
      <w:pPr>
        <w:pStyle w:val="3"/>
        <w:numPr>
          <w:ilvl w:val="0"/>
          <w:numId w:val="0"/>
        </w:numPr>
        <w:spacing w:line="360" w:lineRule="auto"/>
        <w:ind w:leftChars="0"/>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4.环境保护设施</w:t>
      </w:r>
      <w:bookmarkEnd w:id="3"/>
    </w:p>
    <w:p>
      <w:pPr>
        <w:pStyle w:val="3"/>
        <w:numPr>
          <w:ilvl w:val="0"/>
          <w:numId w:val="0"/>
        </w:numPr>
        <w:spacing w:line="360" w:lineRule="auto"/>
        <w:ind w:leftChars="0"/>
        <w:jc w:val="both"/>
        <w:rPr>
          <w:rFonts w:hint="default" w:ascii="Times New Roman" w:hAnsi="Times New Roman" w:eastAsia="宋体" w:cs="Times New Roman"/>
          <w:sz w:val="28"/>
          <w:szCs w:val="28"/>
          <w:lang w:val="en-US" w:eastAsia="zh-CN"/>
        </w:rPr>
      </w:pPr>
      <w:bookmarkStart w:id="5" w:name="_Toc9186"/>
      <w:r>
        <w:rPr>
          <w:rFonts w:hint="default" w:ascii="Times New Roman" w:hAnsi="Times New Roman" w:eastAsia="宋体" w:cs="Times New Roman"/>
          <w:sz w:val="28"/>
          <w:szCs w:val="28"/>
          <w:lang w:val="en-US" w:eastAsia="zh-CN"/>
        </w:rPr>
        <w:t>4.1污染物处置措施</w:t>
      </w:r>
      <w:bookmarkEnd w:id="5"/>
    </w:p>
    <w:p>
      <w:pPr>
        <w:pStyle w:val="2"/>
        <w:spacing w:line="360" w:lineRule="auto"/>
        <w:rPr>
          <w:rFonts w:hint="default" w:ascii="Times New Roman" w:hAnsi="Times New Roman" w:eastAsia="宋体" w:cs="Times New Roman"/>
          <w:b w:val="0"/>
          <w:bCs w:val="0"/>
          <w:sz w:val="28"/>
          <w:szCs w:val="28"/>
          <w:lang w:val="en-US" w:eastAsia="zh-CN"/>
        </w:rPr>
      </w:pPr>
      <w:bookmarkStart w:id="6" w:name="_Toc5075"/>
      <w:r>
        <w:rPr>
          <w:rFonts w:hint="default" w:ascii="Times New Roman" w:hAnsi="Times New Roman" w:eastAsia="宋体" w:cs="Times New Roman"/>
          <w:b w:val="0"/>
          <w:bCs w:val="0"/>
          <w:sz w:val="28"/>
          <w:szCs w:val="28"/>
          <w:lang w:val="en-US" w:eastAsia="zh-CN"/>
        </w:rPr>
        <w:t>4.1.1废水</w:t>
      </w:r>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8"/>
          <w:szCs w:val="28"/>
          <w:lang w:val="en-US"/>
        </w:rPr>
      </w:pPr>
      <w:r>
        <w:rPr>
          <w:rFonts w:hint="default" w:ascii="Times New Roman" w:hAnsi="Times New Roman" w:eastAsia="宋体" w:cs="Times New Roman"/>
          <w:color w:val="auto"/>
          <w:sz w:val="28"/>
          <w:szCs w:val="28"/>
        </w:rPr>
        <w:t xml:space="preserve">    </w:t>
      </w:r>
      <w:r>
        <w:rPr>
          <w:rFonts w:hint="default" w:ascii="Times New Roman" w:hAnsi="Times New Roman" w:eastAsia="宋体" w:cs="Times New Roman"/>
          <w:b w:val="0"/>
          <w:bCs w:val="0"/>
          <w:color w:val="auto"/>
          <w:kern w:val="2"/>
          <w:sz w:val="28"/>
          <w:szCs w:val="28"/>
          <w:lang w:val="en-US" w:eastAsia="zh-CN" w:bidi="ar-SA"/>
        </w:rPr>
        <w:t>该加油站</w:t>
      </w:r>
      <w:r>
        <w:rPr>
          <w:rFonts w:hint="default" w:ascii="Times New Roman" w:hAnsi="Times New Roman" w:eastAsia="宋体" w:cs="Times New Roman"/>
          <w:color w:val="auto"/>
          <w:sz w:val="28"/>
          <w:szCs w:val="28"/>
        </w:rPr>
        <w:t>产生的污水主要为</w:t>
      </w:r>
      <w:r>
        <w:rPr>
          <w:rFonts w:hint="default" w:ascii="Times New Roman" w:hAnsi="Times New Roman" w:eastAsia="宋体" w:cs="Times New Roman"/>
          <w:color w:val="auto"/>
          <w:sz w:val="28"/>
          <w:szCs w:val="28"/>
          <w:lang w:val="en-US" w:eastAsia="zh-CN"/>
        </w:rPr>
        <w:t>职工和顾客生活用水、绿化用水、地面冲洗废水、定期清洗油罐用水和车辆冲洗废水</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职工和顾客生活用水、地面冲洗废水经隔油池处理后在与其他</w:t>
      </w:r>
      <w:r>
        <w:rPr>
          <w:rFonts w:hint="default" w:ascii="Times New Roman" w:hAnsi="Times New Roman" w:eastAsia="宋体" w:cs="Times New Roman"/>
          <w:color w:val="auto"/>
          <w:sz w:val="28"/>
          <w:szCs w:val="28"/>
        </w:rPr>
        <w:t>废水</w:t>
      </w:r>
      <w:r>
        <w:rPr>
          <w:rFonts w:hint="default" w:ascii="Times New Roman" w:hAnsi="Times New Roman" w:eastAsia="宋体" w:cs="Times New Roman"/>
          <w:color w:val="auto"/>
          <w:sz w:val="28"/>
          <w:szCs w:val="28"/>
          <w:lang w:val="en-US" w:eastAsia="zh-CN"/>
        </w:rPr>
        <w:t>排入化粪池后定期由西安市第三污水处理厂派专人定期清运至西安市第三污水厂处理</w:t>
      </w:r>
      <w:r>
        <w:rPr>
          <w:rFonts w:hint="eastAsia"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车辆冲洗废水经过</w:t>
      </w:r>
      <w:r>
        <w:rPr>
          <w:rFonts w:hint="eastAsia" w:eastAsia="宋体" w:cs="Times New Roman"/>
          <w:color w:val="auto"/>
          <w:sz w:val="28"/>
          <w:szCs w:val="28"/>
          <w:lang w:val="en-US" w:eastAsia="zh-CN"/>
        </w:rPr>
        <w:t>三级隔油池</w:t>
      </w:r>
      <w:r>
        <w:rPr>
          <w:rFonts w:hint="default" w:ascii="Times New Roman" w:hAnsi="Times New Roman" w:eastAsia="宋体" w:cs="Times New Roman"/>
          <w:color w:val="auto"/>
          <w:sz w:val="28"/>
          <w:szCs w:val="28"/>
          <w:lang w:val="en-US" w:eastAsia="zh-CN"/>
        </w:rPr>
        <w:t>污水处理系统后循环使用。</w:t>
      </w:r>
    </w:p>
    <w:p>
      <w:pPr>
        <w:pStyle w:val="2"/>
        <w:spacing w:line="360" w:lineRule="auto"/>
        <w:rPr>
          <w:rFonts w:hint="default" w:ascii="Times New Roman" w:hAnsi="Times New Roman" w:eastAsia="宋体" w:cs="Times New Roman"/>
          <w:b w:val="0"/>
          <w:bCs w:val="0"/>
          <w:sz w:val="28"/>
          <w:szCs w:val="28"/>
          <w:lang w:val="en-US" w:eastAsia="zh-CN"/>
        </w:rPr>
      </w:pPr>
      <w:bookmarkStart w:id="7" w:name="_Toc18962"/>
      <w:r>
        <w:rPr>
          <w:rFonts w:hint="default" w:ascii="Times New Roman" w:hAnsi="Times New Roman" w:eastAsia="宋体" w:cs="Times New Roman"/>
          <w:b w:val="0"/>
          <w:bCs w:val="0"/>
          <w:sz w:val="28"/>
          <w:szCs w:val="28"/>
          <w:lang w:val="en-US" w:eastAsia="zh-CN"/>
        </w:rPr>
        <w:t>4.1.2 无组织废气</w:t>
      </w:r>
      <w:bookmarkEnd w:id="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无组织废气包括</w:t>
      </w:r>
      <w:r>
        <w:rPr>
          <w:rFonts w:hint="default" w:ascii="Times New Roman" w:hAnsi="Times New Roman" w:eastAsia="宋体" w:cs="Times New Roman"/>
          <w:color w:val="auto"/>
          <w:sz w:val="28"/>
          <w:szCs w:val="28"/>
          <w:lang w:val="en-US" w:eastAsia="zh-CN"/>
        </w:rPr>
        <w:t>非甲烷总烃、加油车辆尾气和备用发电机废气。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default" w:ascii="Times New Roman" w:hAnsi="Times New Roman" w:eastAsia="宋体" w:cs="Times New Roman"/>
          <w:color w:val="auto"/>
          <w:sz w:val="28"/>
          <w:szCs w:val="28"/>
        </w:rPr>
      </w:pPr>
    </w:p>
    <w:p>
      <w:pPr>
        <w:adjustRightInd w:val="0"/>
        <w:snapToGrid w:val="0"/>
        <w:spacing w:before="156" w:beforeLines="50"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rPr>
        <w:t>图</w:t>
      </w:r>
      <w:r>
        <w:rPr>
          <w:rFonts w:hint="default"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2  无组织废气排放示意图</w:t>
      </w:r>
    </w:p>
    <w:sectPr>
      <w:headerReference r:id="rId3" w:type="default"/>
      <w:footerReference r:id="rId4" w:type="default"/>
      <w:pgSz w:w="11906" w:h="16838"/>
      <w:pgMar w:top="1440" w:right="1378" w:bottom="1440" w:left="1378" w:header="851" w:footer="992" w:gutter="0"/>
      <w:pgBorders>
        <w:top w:val="none" w:sz="0" w:space="0"/>
        <w:left w:val="none" w:sz="0" w:space="0"/>
        <w:bottom w:val="none" w:sz="0" w:space="0"/>
        <w:right w:val="none" w:sz="0" w:space="0"/>
      </w:pgBorders>
      <w:pgNumType w:fmt="decimal"/>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E4C3D"/>
    <w:rsid w:val="0022515F"/>
    <w:rsid w:val="00896224"/>
    <w:rsid w:val="00BC4BF0"/>
    <w:rsid w:val="00DC342C"/>
    <w:rsid w:val="00E96554"/>
    <w:rsid w:val="01714C70"/>
    <w:rsid w:val="01823724"/>
    <w:rsid w:val="01BE0F11"/>
    <w:rsid w:val="01E335AF"/>
    <w:rsid w:val="02E262CE"/>
    <w:rsid w:val="032276E7"/>
    <w:rsid w:val="032D1353"/>
    <w:rsid w:val="038849A9"/>
    <w:rsid w:val="03D72644"/>
    <w:rsid w:val="03FA7289"/>
    <w:rsid w:val="040025C4"/>
    <w:rsid w:val="041812F1"/>
    <w:rsid w:val="044A749E"/>
    <w:rsid w:val="045A2D74"/>
    <w:rsid w:val="04717F78"/>
    <w:rsid w:val="04E00464"/>
    <w:rsid w:val="050B1258"/>
    <w:rsid w:val="054F2D1F"/>
    <w:rsid w:val="05F047B8"/>
    <w:rsid w:val="060176B8"/>
    <w:rsid w:val="06281551"/>
    <w:rsid w:val="063A7EE8"/>
    <w:rsid w:val="06477454"/>
    <w:rsid w:val="067E197E"/>
    <w:rsid w:val="06CE13B0"/>
    <w:rsid w:val="07005EFA"/>
    <w:rsid w:val="07464448"/>
    <w:rsid w:val="0765075B"/>
    <w:rsid w:val="07AF2441"/>
    <w:rsid w:val="07BB4092"/>
    <w:rsid w:val="07D9199F"/>
    <w:rsid w:val="07DF1FDA"/>
    <w:rsid w:val="07FF24F0"/>
    <w:rsid w:val="08F0369A"/>
    <w:rsid w:val="08FE0891"/>
    <w:rsid w:val="09067A22"/>
    <w:rsid w:val="09214B02"/>
    <w:rsid w:val="097055EB"/>
    <w:rsid w:val="09764678"/>
    <w:rsid w:val="09B93BDC"/>
    <w:rsid w:val="09F00001"/>
    <w:rsid w:val="0A185EBB"/>
    <w:rsid w:val="0A5F60CB"/>
    <w:rsid w:val="0AC90A8D"/>
    <w:rsid w:val="0AED7688"/>
    <w:rsid w:val="0AEE4CD9"/>
    <w:rsid w:val="0B7C51CF"/>
    <w:rsid w:val="0B9E5AEA"/>
    <w:rsid w:val="0BE46201"/>
    <w:rsid w:val="0C462E95"/>
    <w:rsid w:val="0CEB0B1C"/>
    <w:rsid w:val="0E234C14"/>
    <w:rsid w:val="0E4E3794"/>
    <w:rsid w:val="0E52530F"/>
    <w:rsid w:val="0E6218D7"/>
    <w:rsid w:val="0E843981"/>
    <w:rsid w:val="0F4952CF"/>
    <w:rsid w:val="0F4A74E9"/>
    <w:rsid w:val="0F9B1E49"/>
    <w:rsid w:val="0FE26CA5"/>
    <w:rsid w:val="105B2253"/>
    <w:rsid w:val="10755366"/>
    <w:rsid w:val="10B035BB"/>
    <w:rsid w:val="10D50258"/>
    <w:rsid w:val="10DB2497"/>
    <w:rsid w:val="117649FD"/>
    <w:rsid w:val="118453F3"/>
    <w:rsid w:val="118D4FE9"/>
    <w:rsid w:val="11AB3D9C"/>
    <w:rsid w:val="123B5AAA"/>
    <w:rsid w:val="126B7AAC"/>
    <w:rsid w:val="1297339C"/>
    <w:rsid w:val="12D12136"/>
    <w:rsid w:val="1300477D"/>
    <w:rsid w:val="13136958"/>
    <w:rsid w:val="134B7BB8"/>
    <w:rsid w:val="13A33D5F"/>
    <w:rsid w:val="145E02DD"/>
    <w:rsid w:val="14920232"/>
    <w:rsid w:val="158D617A"/>
    <w:rsid w:val="165A043A"/>
    <w:rsid w:val="169C3512"/>
    <w:rsid w:val="16CE337D"/>
    <w:rsid w:val="16DF3DC8"/>
    <w:rsid w:val="16E007F9"/>
    <w:rsid w:val="16F11A0E"/>
    <w:rsid w:val="16F63D1F"/>
    <w:rsid w:val="16FF78ED"/>
    <w:rsid w:val="172E656A"/>
    <w:rsid w:val="17E003DF"/>
    <w:rsid w:val="17EB14B9"/>
    <w:rsid w:val="18A7639A"/>
    <w:rsid w:val="18B55950"/>
    <w:rsid w:val="18D77BD3"/>
    <w:rsid w:val="197A3BF4"/>
    <w:rsid w:val="19F9286E"/>
    <w:rsid w:val="1A3310F3"/>
    <w:rsid w:val="1A640E22"/>
    <w:rsid w:val="1A876F51"/>
    <w:rsid w:val="1AC9246F"/>
    <w:rsid w:val="1ACD1FE5"/>
    <w:rsid w:val="1B225D19"/>
    <w:rsid w:val="1B39083B"/>
    <w:rsid w:val="1BC630F9"/>
    <w:rsid w:val="1BE647E7"/>
    <w:rsid w:val="1C972570"/>
    <w:rsid w:val="1CC82520"/>
    <w:rsid w:val="1CE9186E"/>
    <w:rsid w:val="1D18664C"/>
    <w:rsid w:val="1D1E460C"/>
    <w:rsid w:val="1D372218"/>
    <w:rsid w:val="1D644908"/>
    <w:rsid w:val="1D990B90"/>
    <w:rsid w:val="1D9D051D"/>
    <w:rsid w:val="1E564449"/>
    <w:rsid w:val="1E5D3999"/>
    <w:rsid w:val="1E6B3BD5"/>
    <w:rsid w:val="1E783013"/>
    <w:rsid w:val="1E8D572B"/>
    <w:rsid w:val="1EE332E5"/>
    <w:rsid w:val="1F8006D2"/>
    <w:rsid w:val="214649E1"/>
    <w:rsid w:val="217912D4"/>
    <w:rsid w:val="21CD3596"/>
    <w:rsid w:val="22DB72A4"/>
    <w:rsid w:val="2354621D"/>
    <w:rsid w:val="23B17F97"/>
    <w:rsid w:val="2428759A"/>
    <w:rsid w:val="247A057B"/>
    <w:rsid w:val="24CD2167"/>
    <w:rsid w:val="24E60B1E"/>
    <w:rsid w:val="24E738CD"/>
    <w:rsid w:val="251645B8"/>
    <w:rsid w:val="25210ED9"/>
    <w:rsid w:val="259D5F51"/>
    <w:rsid w:val="25C6398E"/>
    <w:rsid w:val="25E15456"/>
    <w:rsid w:val="25EE2FFA"/>
    <w:rsid w:val="269A5D50"/>
    <w:rsid w:val="27260147"/>
    <w:rsid w:val="27481039"/>
    <w:rsid w:val="274E7D51"/>
    <w:rsid w:val="28173BD2"/>
    <w:rsid w:val="28422856"/>
    <w:rsid w:val="286502BB"/>
    <w:rsid w:val="28782838"/>
    <w:rsid w:val="287E0C79"/>
    <w:rsid w:val="28B864CB"/>
    <w:rsid w:val="297A6BF3"/>
    <w:rsid w:val="29815625"/>
    <w:rsid w:val="298F1182"/>
    <w:rsid w:val="2AC46176"/>
    <w:rsid w:val="2AE17396"/>
    <w:rsid w:val="2B0575A9"/>
    <w:rsid w:val="2B5A57D4"/>
    <w:rsid w:val="2BC46238"/>
    <w:rsid w:val="2C112C88"/>
    <w:rsid w:val="2C140718"/>
    <w:rsid w:val="2C852693"/>
    <w:rsid w:val="2CB73563"/>
    <w:rsid w:val="2CDF096F"/>
    <w:rsid w:val="2CF06754"/>
    <w:rsid w:val="2D2B6203"/>
    <w:rsid w:val="2D557E8B"/>
    <w:rsid w:val="2DC25158"/>
    <w:rsid w:val="2DF2000F"/>
    <w:rsid w:val="2E246379"/>
    <w:rsid w:val="2E2E2233"/>
    <w:rsid w:val="2E60687C"/>
    <w:rsid w:val="2E783F69"/>
    <w:rsid w:val="2EB03C36"/>
    <w:rsid w:val="2EF94A70"/>
    <w:rsid w:val="2EFB0CE3"/>
    <w:rsid w:val="2F1C0400"/>
    <w:rsid w:val="2F4F5232"/>
    <w:rsid w:val="2F5C2C59"/>
    <w:rsid w:val="2FBF6A8C"/>
    <w:rsid w:val="30325448"/>
    <w:rsid w:val="30AC2800"/>
    <w:rsid w:val="30E83D2E"/>
    <w:rsid w:val="30ED3876"/>
    <w:rsid w:val="3142384F"/>
    <w:rsid w:val="322D5CBF"/>
    <w:rsid w:val="32475195"/>
    <w:rsid w:val="32B665A9"/>
    <w:rsid w:val="335A7D91"/>
    <w:rsid w:val="33BA42F2"/>
    <w:rsid w:val="34142372"/>
    <w:rsid w:val="34B13A3B"/>
    <w:rsid w:val="34B96057"/>
    <w:rsid w:val="34CF1765"/>
    <w:rsid w:val="34E83B63"/>
    <w:rsid w:val="353530CB"/>
    <w:rsid w:val="35AA5B6D"/>
    <w:rsid w:val="35BE531E"/>
    <w:rsid w:val="35FC35F2"/>
    <w:rsid w:val="365241BF"/>
    <w:rsid w:val="36812E0E"/>
    <w:rsid w:val="36FF339F"/>
    <w:rsid w:val="37080F1C"/>
    <w:rsid w:val="374B561D"/>
    <w:rsid w:val="375E4C3D"/>
    <w:rsid w:val="376468D2"/>
    <w:rsid w:val="37A121BC"/>
    <w:rsid w:val="37AB5739"/>
    <w:rsid w:val="37B30869"/>
    <w:rsid w:val="37B43F74"/>
    <w:rsid w:val="37C00510"/>
    <w:rsid w:val="37CE72A7"/>
    <w:rsid w:val="37DA0EED"/>
    <w:rsid w:val="37DC68E7"/>
    <w:rsid w:val="38081BB9"/>
    <w:rsid w:val="389B35D8"/>
    <w:rsid w:val="38A8748D"/>
    <w:rsid w:val="39085CDB"/>
    <w:rsid w:val="39AC4CE7"/>
    <w:rsid w:val="39D37604"/>
    <w:rsid w:val="3A5B0DF3"/>
    <w:rsid w:val="3B1207C1"/>
    <w:rsid w:val="3B504FD1"/>
    <w:rsid w:val="3B60794C"/>
    <w:rsid w:val="3BD93B59"/>
    <w:rsid w:val="3BDB0805"/>
    <w:rsid w:val="3BDF7297"/>
    <w:rsid w:val="3C341D17"/>
    <w:rsid w:val="3CB449F5"/>
    <w:rsid w:val="3CEC3C62"/>
    <w:rsid w:val="3D127E1B"/>
    <w:rsid w:val="3D2F17FF"/>
    <w:rsid w:val="3D5A0616"/>
    <w:rsid w:val="3D755479"/>
    <w:rsid w:val="3DCA5B0C"/>
    <w:rsid w:val="3DFE405E"/>
    <w:rsid w:val="3E284F67"/>
    <w:rsid w:val="3F2F776F"/>
    <w:rsid w:val="3F5D03B9"/>
    <w:rsid w:val="3FA34E62"/>
    <w:rsid w:val="3FBE651D"/>
    <w:rsid w:val="4011593D"/>
    <w:rsid w:val="40932C4C"/>
    <w:rsid w:val="40A33E15"/>
    <w:rsid w:val="412D24B2"/>
    <w:rsid w:val="41B501DA"/>
    <w:rsid w:val="422C6CBD"/>
    <w:rsid w:val="42847773"/>
    <w:rsid w:val="42D02B56"/>
    <w:rsid w:val="42EE29BF"/>
    <w:rsid w:val="432221A3"/>
    <w:rsid w:val="432B73D4"/>
    <w:rsid w:val="43442274"/>
    <w:rsid w:val="435E48A2"/>
    <w:rsid w:val="436E0FBF"/>
    <w:rsid w:val="437F6C67"/>
    <w:rsid w:val="43892615"/>
    <w:rsid w:val="438B4667"/>
    <w:rsid w:val="439751DB"/>
    <w:rsid w:val="43C02EB5"/>
    <w:rsid w:val="43CC037E"/>
    <w:rsid w:val="444513D9"/>
    <w:rsid w:val="4446386C"/>
    <w:rsid w:val="44C10B3F"/>
    <w:rsid w:val="44D12913"/>
    <w:rsid w:val="44E82E4F"/>
    <w:rsid w:val="44F820B3"/>
    <w:rsid w:val="45790911"/>
    <w:rsid w:val="45991B82"/>
    <w:rsid w:val="45C374EE"/>
    <w:rsid w:val="45E33789"/>
    <w:rsid w:val="460D2BD1"/>
    <w:rsid w:val="46320EC8"/>
    <w:rsid w:val="469D6477"/>
    <w:rsid w:val="47354D09"/>
    <w:rsid w:val="47802F5F"/>
    <w:rsid w:val="480D125B"/>
    <w:rsid w:val="481E5097"/>
    <w:rsid w:val="4852023E"/>
    <w:rsid w:val="48A15FD6"/>
    <w:rsid w:val="48E8199D"/>
    <w:rsid w:val="494C19D0"/>
    <w:rsid w:val="49B77587"/>
    <w:rsid w:val="4A0F4606"/>
    <w:rsid w:val="4A123274"/>
    <w:rsid w:val="4A2C50D6"/>
    <w:rsid w:val="4A623124"/>
    <w:rsid w:val="4A69016A"/>
    <w:rsid w:val="4A784993"/>
    <w:rsid w:val="4A902C17"/>
    <w:rsid w:val="4AD41911"/>
    <w:rsid w:val="4ADA4375"/>
    <w:rsid w:val="4AF62C23"/>
    <w:rsid w:val="4B122A96"/>
    <w:rsid w:val="4B186355"/>
    <w:rsid w:val="4B1E03A3"/>
    <w:rsid w:val="4BE47735"/>
    <w:rsid w:val="4C484C64"/>
    <w:rsid w:val="4C5264D0"/>
    <w:rsid w:val="4C766376"/>
    <w:rsid w:val="4CEC6A61"/>
    <w:rsid w:val="4D2C7A30"/>
    <w:rsid w:val="4D700049"/>
    <w:rsid w:val="4DAC1084"/>
    <w:rsid w:val="4DAC10CB"/>
    <w:rsid w:val="4DB87895"/>
    <w:rsid w:val="4DFB2415"/>
    <w:rsid w:val="4E3A61DA"/>
    <w:rsid w:val="4E586CC2"/>
    <w:rsid w:val="4E6B6E2D"/>
    <w:rsid w:val="4F484CD8"/>
    <w:rsid w:val="4F622951"/>
    <w:rsid w:val="4F63676A"/>
    <w:rsid w:val="4F772D71"/>
    <w:rsid w:val="4FCD27F2"/>
    <w:rsid w:val="4FD622F1"/>
    <w:rsid w:val="4FE15D4B"/>
    <w:rsid w:val="4FE20285"/>
    <w:rsid w:val="4FFB7E75"/>
    <w:rsid w:val="50720670"/>
    <w:rsid w:val="50911816"/>
    <w:rsid w:val="50C14CAC"/>
    <w:rsid w:val="50E11CD4"/>
    <w:rsid w:val="511A1464"/>
    <w:rsid w:val="51685143"/>
    <w:rsid w:val="52580A0A"/>
    <w:rsid w:val="5340478A"/>
    <w:rsid w:val="535F0570"/>
    <w:rsid w:val="53CD7F33"/>
    <w:rsid w:val="54117A71"/>
    <w:rsid w:val="543060EF"/>
    <w:rsid w:val="549A325C"/>
    <w:rsid w:val="54C410F4"/>
    <w:rsid w:val="553A5FE6"/>
    <w:rsid w:val="556A022F"/>
    <w:rsid w:val="55725EAA"/>
    <w:rsid w:val="55E817AA"/>
    <w:rsid w:val="55F0630B"/>
    <w:rsid w:val="56E26F80"/>
    <w:rsid w:val="57047640"/>
    <w:rsid w:val="5714255E"/>
    <w:rsid w:val="5725362E"/>
    <w:rsid w:val="57265A05"/>
    <w:rsid w:val="574452CE"/>
    <w:rsid w:val="575A24FC"/>
    <w:rsid w:val="57DE76C4"/>
    <w:rsid w:val="57E87294"/>
    <w:rsid w:val="57ED1946"/>
    <w:rsid w:val="58353EFE"/>
    <w:rsid w:val="5876457F"/>
    <w:rsid w:val="58D31707"/>
    <w:rsid w:val="58E14A9C"/>
    <w:rsid w:val="58EA2692"/>
    <w:rsid w:val="590F25B5"/>
    <w:rsid w:val="59370FB9"/>
    <w:rsid w:val="59914EBE"/>
    <w:rsid w:val="599D4636"/>
    <w:rsid w:val="59C11013"/>
    <w:rsid w:val="59DD6846"/>
    <w:rsid w:val="59F4687B"/>
    <w:rsid w:val="5A9965F4"/>
    <w:rsid w:val="5A9E1DC7"/>
    <w:rsid w:val="5AF03E0C"/>
    <w:rsid w:val="5B053C13"/>
    <w:rsid w:val="5B0A13DA"/>
    <w:rsid w:val="5B117F5D"/>
    <w:rsid w:val="5B7A5378"/>
    <w:rsid w:val="5B88217E"/>
    <w:rsid w:val="5BBC50D2"/>
    <w:rsid w:val="5BDC79B0"/>
    <w:rsid w:val="5BF4194B"/>
    <w:rsid w:val="5D430BAF"/>
    <w:rsid w:val="5D58240F"/>
    <w:rsid w:val="5D691739"/>
    <w:rsid w:val="5E0B7006"/>
    <w:rsid w:val="5E4A7C15"/>
    <w:rsid w:val="5EA806DC"/>
    <w:rsid w:val="5EEF0B4B"/>
    <w:rsid w:val="5F397147"/>
    <w:rsid w:val="5F74224D"/>
    <w:rsid w:val="5FAE16A7"/>
    <w:rsid w:val="5FB354A5"/>
    <w:rsid w:val="5FBD7189"/>
    <w:rsid w:val="5FEA2E59"/>
    <w:rsid w:val="6002701A"/>
    <w:rsid w:val="605C6706"/>
    <w:rsid w:val="60A36A25"/>
    <w:rsid w:val="60DF5CF8"/>
    <w:rsid w:val="61435766"/>
    <w:rsid w:val="614A42D4"/>
    <w:rsid w:val="614E11C3"/>
    <w:rsid w:val="61B32F84"/>
    <w:rsid w:val="62137984"/>
    <w:rsid w:val="625963B5"/>
    <w:rsid w:val="62857A61"/>
    <w:rsid w:val="62AA3D2B"/>
    <w:rsid w:val="62DD47D4"/>
    <w:rsid w:val="62F71755"/>
    <w:rsid w:val="62F853E4"/>
    <w:rsid w:val="63724785"/>
    <w:rsid w:val="638D1AE0"/>
    <w:rsid w:val="641B556C"/>
    <w:rsid w:val="643E5EB9"/>
    <w:rsid w:val="646F1984"/>
    <w:rsid w:val="64957AB0"/>
    <w:rsid w:val="64BD33E6"/>
    <w:rsid w:val="65587BB3"/>
    <w:rsid w:val="65734FA1"/>
    <w:rsid w:val="65AB0425"/>
    <w:rsid w:val="66430383"/>
    <w:rsid w:val="66935606"/>
    <w:rsid w:val="66B35F78"/>
    <w:rsid w:val="66CB1D56"/>
    <w:rsid w:val="66F3560D"/>
    <w:rsid w:val="670D4EF3"/>
    <w:rsid w:val="673139F6"/>
    <w:rsid w:val="673A0AF6"/>
    <w:rsid w:val="67F94133"/>
    <w:rsid w:val="68791829"/>
    <w:rsid w:val="68820E2C"/>
    <w:rsid w:val="6884599E"/>
    <w:rsid w:val="68B4527E"/>
    <w:rsid w:val="692A757A"/>
    <w:rsid w:val="6973141A"/>
    <w:rsid w:val="69ED33E9"/>
    <w:rsid w:val="6AB26E47"/>
    <w:rsid w:val="6AFC2AB3"/>
    <w:rsid w:val="6B316F09"/>
    <w:rsid w:val="6B4E2696"/>
    <w:rsid w:val="6B643578"/>
    <w:rsid w:val="6C190ABF"/>
    <w:rsid w:val="6C1B1582"/>
    <w:rsid w:val="6C3B1191"/>
    <w:rsid w:val="6CF90256"/>
    <w:rsid w:val="6D5A032D"/>
    <w:rsid w:val="6D8A0D01"/>
    <w:rsid w:val="6DB06ABB"/>
    <w:rsid w:val="6E40497A"/>
    <w:rsid w:val="6E440A96"/>
    <w:rsid w:val="6E59399D"/>
    <w:rsid w:val="6EEA533D"/>
    <w:rsid w:val="6FE0472F"/>
    <w:rsid w:val="704632C1"/>
    <w:rsid w:val="7055204E"/>
    <w:rsid w:val="7078661A"/>
    <w:rsid w:val="70A65B0C"/>
    <w:rsid w:val="70C7131B"/>
    <w:rsid w:val="7127328A"/>
    <w:rsid w:val="71DF0EED"/>
    <w:rsid w:val="71E23B11"/>
    <w:rsid w:val="72701850"/>
    <w:rsid w:val="729D509A"/>
    <w:rsid w:val="72C550E5"/>
    <w:rsid w:val="730A2094"/>
    <w:rsid w:val="730E16BA"/>
    <w:rsid w:val="734A017D"/>
    <w:rsid w:val="73750A46"/>
    <w:rsid w:val="738B5558"/>
    <w:rsid w:val="74165A43"/>
    <w:rsid w:val="744B1D30"/>
    <w:rsid w:val="74D2279F"/>
    <w:rsid w:val="74D875D9"/>
    <w:rsid w:val="74E9035C"/>
    <w:rsid w:val="7513198A"/>
    <w:rsid w:val="75375F15"/>
    <w:rsid w:val="754D3E13"/>
    <w:rsid w:val="75EF777D"/>
    <w:rsid w:val="761C3074"/>
    <w:rsid w:val="76510FBF"/>
    <w:rsid w:val="767C1DF2"/>
    <w:rsid w:val="76976C8E"/>
    <w:rsid w:val="76AD5EBA"/>
    <w:rsid w:val="76D10E19"/>
    <w:rsid w:val="77065F40"/>
    <w:rsid w:val="771D0A2A"/>
    <w:rsid w:val="772B7ACF"/>
    <w:rsid w:val="774B2593"/>
    <w:rsid w:val="776A03AB"/>
    <w:rsid w:val="78012A1E"/>
    <w:rsid w:val="788E3DF6"/>
    <w:rsid w:val="78AB4A8E"/>
    <w:rsid w:val="78B230F2"/>
    <w:rsid w:val="78D76B25"/>
    <w:rsid w:val="78DF6BDE"/>
    <w:rsid w:val="790452B1"/>
    <w:rsid w:val="797159BB"/>
    <w:rsid w:val="798E7FA3"/>
    <w:rsid w:val="79BF46A8"/>
    <w:rsid w:val="79E85243"/>
    <w:rsid w:val="7A1A00CB"/>
    <w:rsid w:val="7A362F1D"/>
    <w:rsid w:val="7A75685B"/>
    <w:rsid w:val="7AC001A3"/>
    <w:rsid w:val="7AC23CDE"/>
    <w:rsid w:val="7AF73880"/>
    <w:rsid w:val="7B632DF1"/>
    <w:rsid w:val="7BD64258"/>
    <w:rsid w:val="7C0E6F48"/>
    <w:rsid w:val="7C2A6E57"/>
    <w:rsid w:val="7CBF7FF3"/>
    <w:rsid w:val="7D136C7B"/>
    <w:rsid w:val="7DD40931"/>
    <w:rsid w:val="7DFD631B"/>
    <w:rsid w:val="7DFF7CF1"/>
    <w:rsid w:val="7E5A7242"/>
    <w:rsid w:val="7F4E208A"/>
    <w:rsid w:val="7F5F67F0"/>
    <w:rsid w:val="7F742468"/>
    <w:rsid w:val="7F792A55"/>
    <w:rsid w:val="7FC95C6C"/>
    <w:rsid w:val="7FD32230"/>
    <w:rsid w:val="7FFE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6" w:firstLineChars="200"/>
      <w:jc w:val="both"/>
    </w:pPr>
    <w:rPr>
      <w:rFonts w:ascii="Times New Roman" w:hAnsi="Times New Roman" w:eastAsiaTheme="minorEastAsia" w:cstheme="minorBidi"/>
      <w:kern w:val="2"/>
      <w:sz w:val="24"/>
      <w:szCs w:val="24"/>
      <w:lang w:val="en-US" w:eastAsia="zh-CN" w:bidi="ar-SA"/>
    </w:rPr>
  </w:style>
  <w:style w:type="paragraph" w:styleId="3">
    <w:name w:val="heading 1"/>
    <w:basedOn w:val="1"/>
    <w:next w:val="1"/>
    <w:qFormat/>
    <w:uiPriority w:val="0"/>
    <w:pPr>
      <w:tabs>
        <w:tab w:val="left" w:pos="3240"/>
        <w:tab w:val="left" w:pos="6120"/>
      </w:tabs>
      <w:spacing w:line="360" w:lineRule="auto"/>
      <w:jc w:val="center"/>
      <w:outlineLvl w:val="0"/>
    </w:pPr>
    <w:rPr>
      <w:rFonts w:ascii="Times New Roman" w:hAnsi="Times New Roman" w:eastAsia="宋体"/>
      <w:b/>
      <w:sz w:val="28"/>
      <w:szCs w:val="30"/>
    </w:rPr>
  </w:style>
  <w:style w:type="paragraph" w:styleId="2">
    <w:name w:val="heading 2"/>
    <w:basedOn w:val="1"/>
    <w:next w:val="1"/>
    <w:unhideWhenUsed/>
    <w:qFormat/>
    <w:uiPriority w:val="0"/>
    <w:pPr>
      <w:keepNext/>
      <w:keepLines/>
      <w:spacing w:line="360" w:lineRule="auto"/>
      <w:jc w:val="left"/>
      <w:outlineLvl w:val="1"/>
    </w:pPr>
    <w:rPr>
      <w:rFonts w:ascii="Times New Roman" w:hAnsi="Times New Roman" w:eastAsia="宋体"/>
      <w:b/>
      <w:bCs/>
      <w:sz w:val="28"/>
      <w:szCs w:val="28"/>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Body Text Indent 3"/>
    <w:basedOn w:val="1"/>
    <w:qFormat/>
    <w:uiPriority w:val="0"/>
    <w:pPr>
      <w:spacing w:after="120"/>
      <w:ind w:left="420" w:leftChars="200"/>
    </w:pPr>
    <w:rPr>
      <w:sz w:val="16"/>
      <w:szCs w:val="16"/>
    </w:rPr>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表格标题"/>
    <w:basedOn w:val="4"/>
    <w:qFormat/>
    <w:uiPriority w:val="0"/>
    <w:pPr>
      <w:spacing w:after="0" w:line="360" w:lineRule="auto"/>
      <w:jc w:val="center"/>
    </w:pPr>
    <w:rPr>
      <w:b/>
      <w:color w:val="000000"/>
      <w:kern w:val="40"/>
      <w:sz w:val="24"/>
    </w:rPr>
  </w:style>
  <w:style w:type="paragraph" w:customStyle="1" w:styleId="16">
    <w:name w:val="Hu表头"/>
    <w:basedOn w:val="1"/>
    <w:qFormat/>
    <w:uiPriority w:val="0"/>
    <w:pPr>
      <w:adjustRightInd w:val="0"/>
      <w:snapToGrid w:val="0"/>
      <w:spacing w:line="400" w:lineRule="exact"/>
      <w:jc w:val="center"/>
      <w:textAlignment w:val="baseline"/>
    </w:pPr>
    <w:rPr>
      <w:b/>
      <w:color w:val="000000"/>
      <w:szCs w:val="21"/>
    </w:rPr>
  </w:style>
  <w:style w:type="paragraph" w:customStyle="1" w:styleId="17">
    <w:name w:val="Hu表内"/>
    <w:basedOn w:val="1"/>
    <w:qFormat/>
    <w:uiPriority w:val="0"/>
    <w:pPr>
      <w:adjustRightInd w:val="0"/>
      <w:spacing w:line="240" w:lineRule="atLeast"/>
      <w:ind w:firstLine="420" w:firstLineChars="200"/>
      <w:jc w:val="center"/>
      <w:textAlignment w:val="baseline"/>
    </w:pPr>
    <w:rPr>
      <w:kern w:val="0"/>
      <w:szCs w:val="21"/>
    </w:rPr>
  </w:style>
  <w:style w:type="paragraph" w:customStyle="1" w:styleId="18">
    <w:name w:val="一级"/>
    <w:qFormat/>
    <w:uiPriority w:val="0"/>
    <w:pPr>
      <w:spacing w:before="140" w:afterLines="50" w:line="440" w:lineRule="exact"/>
      <w:jc w:val="center"/>
      <w:outlineLvl w:val="0"/>
    </w:pPr>
    <w:rPr>
      <w:rFonts w:ascii="宋体" w:hAnsi="宋体" w:eastAsia="黑体" w:cs="宋体"/>
      <w:b/>
      <w:sz w:val="32"/>
      <w:szCs w:val="32"/>
      <w:lang w:val="en-US" w:eastAsia="zh-CN" w:bidi="ar-SA"/>
    </w:rPr>
  </w:style>
  <w:style w:type="paragraph" w:customStyle="1" w:styleId="19">
    <w:name w:val="四级"/>
    <w:basedOn w:val="1"/>
    <w:qFormat/>
    <w:uiPriority w:val="0"/>
    <w:pPr>
      <w:widowControl/>
      <w:spacing w:beforeLines="25" w:afterLines="25" w:line="440" w:lineRule="exact"/>
      <w:jc w:val="left"/>
    </w:pPr>
    <w:rPr>
      <w:rFonts w:ascii="宋体" w:hAnsi="宋体" w:cs="宋体"/>
      <w:kern w:val="0"/>
      <w:sz w:val="20"/>
      <w:szCs w:val="20"/>
    </w:rPr>
  </w:style>
  <w:style w:type="paragraph" w:customStyle="1" w:styleId="20">
    <w:name w:val="三级"/>
    <w:basedOn w:val="1"/>
    <w:qFormat/>
    <w:uiPriority w:val="0"/>
    <w:pPr>
      <w:widowControl/>
      <w:spacing w:beforeLines="50" w:afterLines="50" w:line="440" w:lineRule="exact"/>
      <w:jc w:val="left"/>
      <w:outlineLvl w:val="2"/>
    </w:pPr>
    <w:rPr>
      <w:rFonts w:ascii="黑体" w:hAnsi="黑体" w:eastAsia="黑体"/>
      <w:b/>
      <w:kern w:val="0"/>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9227</Words>
  <Characters>11276</Characters>
  <Lines>0</Lines>
  <Paragraphs>0</Paragraphs>
  <TotalTime>0</TotalTime>
  <ScaleCrop>false</ScaleCrop>
  <LinksUpToDate>false</LinksUpToDate>
  <CharactersWithSpaces>12089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2017-08-21T06:38:00Z</dcterms:created>
  <dc:creator>Administrator</dc:creator>
  <cp:lastModifiedBy>水无痕</cp:lastModifiedBy>
  <cp:lastPrinted>2017-11-27T05:28:00Z</cp:lastPrinted>
  <dcterms:modified xsi:type="dcterms:W3CDTF">2018-08-29T09:11:21Z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