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03" w:rsidRDefault="00D151A5" w:rsidP="0040711C">
      <w:pPr>
        <w:spacing w:beforeLines="100"/>
        <w:ind w:firstLineChars="0" w:firstLine="0"/>
        <w:jc w:val="center"/>
        <w:rPr>
          <w:b/>
          <w:sz w:val="32"/>
        </w:rPr>
      </w:pPr>
      <w:r>
        <w:rPr>
          <w:rFonts w:hint="eastAsia"/>
          <w:b/>
          <w:sz w:val="32"/>
        </w:rPr>
        <w:t>西安秦灞加油站</w:t>
      </w:r>
      <w:r>
        <w:rPr>
          <w:b/>
          <w:sz w:val="32"/>
        </w:rPr>
        <w:t>项目</w:t>
      </w:r>
      <w:r>
        <w:rPr>
          <w:rFonts w:hint="eastAsia"/>
          <w:b/>
          <w:sz w:val="32"/>
        </w:rPr>
        <w:t>（噪声、固废）</w:t>
      </w:r>
      <w:r>
        <w:rPr>
          <w:b/>
          <w:sz w:val="32"/>
        </w:rPr>
        <w:t>竣工环境保护验收组意见</w:t>
      </w:r>
    </w:p>
    <w:p w:rsidR="00CF5F03" w:rsidRPr="003D4697" w:rsidRDefault="00D151A5" w:rsidP="003D4697">
      <w:pPr>
        <w:ind w:firstLine="480"/>
        <w:jc w:val="both"/>
        <w:rPr>
          <w:szCs w:val="24"/>
        </w:rPr>
      </w:pPr>
      <w:r>
        <w:rPr>
          <w:rFonts w:hint="eastAsia"/>
          <w:szCs w:val="24"/>
        </w:rPr>
        <w:t>201</w:t>
      </w:r>
      <w:r>
        <w:rPr>
          <w:szCs w:val="24"/>
        </w:rPr>
        <w:t>8</w:t>
      </w:r>
      <w:r>
        <w:rPr>
          <w:rFonts w:hint="eastAsia"/>
          <w:szCs w:val="24"/>
        </w:rPr>
        <w:t>年</w:t>
      </w:r>
      <w:r>
        <w:rPr>
          <w:rFonts w:hint="eastAsia"/>
          <w:szCs w:val="24"/>
        </w:rPr>
        <w:t>8</w:t>
      </w:r>
      <w:r>
        <w:rPr>
          <w:rFonts w:hint="eastAsia"/>
          <w:szCs w:val="24"/>
        </w:rPr>
        <w:t>月</w:t>
      </w:r>
      <w:r>
        <w:rPr>
          <w:rFonts w:hint="eastAsia"/>
          <w:szCs w:val="24"/>
        </w:rPr>
        <w:t>24</w:t>
      </w:r>
      <w:r>
        <w:rPr>
          <w:rFonts w:hint="eastAsia"/>
          <w:szCs w:val="24"/>
        </w:rPr>
        <w:t>日由</w:t>
      </w:r>
      <w:r w:rsidR="003D4697">
        <w:rPr>
          <w:rFonts w:hint="eastAsia"/>
          <w:szCs w:val="24"/>
        </w:rPr>
        <w:t>西安市环保局国际港务区分局</w:t>
      </w:r>
      <w:r>
        <w:rPr>
          <w:rFonts w:hint="eastAsia"/>
          <w:szCs w:val="24"/>
        </w:rPr>
        <w:t>主持，在</w:t>
      </w:r>
      <w:r w:rsidR="003D4697">
        <w:rPr>
          <w:rFonts w:hint="eastAsia"/>
          <w:szCs w:val="24"/>
        </w:rPr>
        <w:t>西安市国际港务区</w:t>
      </w:r>
      <w:r>
        <w:rPr>
          <w:rFonts w:hint="eastAsia"/>
          <w:szCs w:val="24"/>
        </w:rPr>
        <w:t>召开了西安秦灞加油站项目竣工环境保护验收会。参加验收会议的有项目</w:t>
      </w:r>
      <w:r w:rsidR="003D4697">
        <w:rPr>
          <w:rFonts w:hint="eastAsia"/>
          <w:szCs w:val="24"/>
        </w:rPr>
        <w:t>建设单位（</w:t>
      </w:r>
      <w:r w:rsidR="003D4697" w:rsidRPr="003D4697">
        <w:rPr>
          <w:rFonts w:hint="eastAsia"/>
          <w:szCs w:val="24"/>
        </w:rPr>
        <w:t>西安秦灞加油站</w:t>
      </w:r>
      <w:r w:rsidR="003D4697" w:rsidRPr="003D4697">
        <w:rPr>
          <w:szCs w:val="24"/>
        </w:rPr>
        <w:t>项目</w:t>
      </w:r>
      <w:r w:rsidR="003D4697">
        <w:rPr>
          <w:rFonts w:hint="eastAsia"/>
          <w:szCs w:val="24"/>
        </w:rPr>
        <w:t>）</w:t>
      </w:r>
      <w:r>
        <w:rPr>
          <w:rFonts w:hint="eastAsia"/>
          <w:szCs w:val="24"/>
        </w:rPr>
        <w:t>竣工环境保护验收监测报告编制单位（陕西瑞境检测技术有限公司</w:t>
      </w:r>
      <w:r w:rsidR="005C1348">
        <w:rPr>
          <w:rFonts w:hint="eastAsia"/>
          <w:szCs w:val="24"/>
        </w:rPr>
        <w:t>）</w:t>
      </w:r>
      <w:r>
        <w:rPr>
          <w:rFonts w:hint="eastAsia"/>
          <w:szCs w:val="24"/>
        </w:rPr>
        <w:t>、</w:t>
      </w:r>
      <w:r w:rsidRPr="003D4697">
        <w:rPr>
          <w:rFonts w:hint="eastAsia"/>
          <w:szCs w:val="24"/>
        </w:rPr>
        <w:t>施工单位（</w:t>
      </w:r>
      <w:r w:rsidR="003D4697" w:rsidRPr="003D4697">
        <w:rPr>
          <w:rFonts w:hint="eastAsia"/>
          <w:szCs w:val="24"/>
        </w:rPr>
        <w:t>陕西商泰建筑工程责任有限公司</w:t>
      </w:r>
      <w:r w:rsidRPr="003D4697">
        <w:rPr>
          <w:rFonts w:hint="eastAsia"/>
          <w:szCs w:val="24"/>
        </w:rPr>
        <w:t>）的</w:t>
      </w:r>
      <w:r w:rsidRPr="003D4697">
        <w:rPr>
          <w:szCs w:val="24"/>
        </w:rPr>
        <w:t>代表及特邀专家等共</w:t>
      </w:r>
      <w:r w:rsidR="005C1348" w:rsidRPr="003D4697">
        <w:rPr>
          <w:rFonts w:hint="eastAsia"/>
          <w:szCs w:val="24"/>
        </w:rPr>
        <w:t>9</w:t>
      </w:r>
      <w:r w:rsidRPr="003D4697">
        <w:rPr>
          <w:szCs w:val="24"/>
        </w:rPr>
        <w:t>人验收组名单附后）。</w:t>
      </w:r>
    </w:p>
    <w:p w:rsidR="00CF5F03" w:rsidRDefault="00D151A5">
      <w:pPr>
        <w:ind w:firstLine="480"/>
        <w:jc w:val="both"/>
        <w:rPr>
          <w:szCs w:val="24"/>
        </w:rPr>
      </w:pPr>
      <w:r>
        <w:rPr>
          <w:szCs w:val="24"/>
        </w:rPr>
        <w:t>与会代表对该工程</w:t>
      </w:r>
      <w:r>
        <w:rPr>
          <w:rFonts w:hint="eastAsia"/>
          <w:szCs w:val="24"/>
        </w:rPr>
        <w:t>噪声、固废污染防治措施</w:t>
      </w:r>
      <w:r>
        <w:rPr>
          <w:szCs w:val="24"/>
        </w:rPr>
        <w:t>落实情况进行了现场检查，听取了建设单位及参建单位关于工程环境保护执行情况和验收</w:t>
      </w:r>
      <w:r>
        <w:rPr>
          <w:rFonts w:hint="eastAsia"/>
          <w:szCs w:val="24"/>
        </w:rPr>
        <w:t>监测编制单位</w:t>
      </w:r>
      <w:r>
        <w:rPr>
          <w:szCs w:val="24"/>
        </w:rPr>
        <w:t>关于竣工环境保护验收</w:t>
      </w:r>
      <w:r>
        <w:rPr>
          <w:rFonts w:hint="eastAsia"/>
          <w:szCs w:val="24"/>
        </w:rPr>
        <w:t>监测</w:t>
      </w:r>
      <w:r>
        <w:rPr>
          <w:szCs w:val="24"/>
        </w:rPr>
        <w:t>情况的汇报，审阅并核实了有关资料。验收组经过认真讨论，形成如下验收意见：</w:t>
      </w:r>
    </w:p>
    <w:p w:rsidR="00CF5F03" w:rsidRDefault="00D151A5">
      <w:pPr>
        <w:pStyle w:val="2"/>
      </w:pPr>
      <w:r>
        <w:t>一、工程建设的基本情况</w:t>
      </w:r>
    </w:p>
    <w:p w:rsidR="00CF5F03" w:rsidRDefault="00D151A5">
      <w:pPr>
        <w:pStyle w:val="1"/>
        <w:spacing w:before="0" w:beforeAutospacing="0" w:after="0" w:afterAutospacing="0" w:line="360" w:lineRule="auto"/>
        <w:ind w:firstLineChars="200" w:firstLine="480"/>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（一）建设地点、规模、主要建设内容</w:t>
      </w:r>
    </w:p>
    <w:p w:rsidR="00CF5F03" w:rsidRDefault="00D151A5">
      <w:pPr>
        <w:ind w:firstLine="480"/>
        <w:rPr>
          <w:rFonts w:asciiTheme="minorEastAsia" w:hAnsiTheme="minorEastAsia"/>
          <w:szCs w:val="24"/>
        </w:rPr>
      </w:pPr>
      <w:r>
        <w:rPr>
          <w:rFonts w:asciiTheme="minorEastAsia" w:hAnsiTheme="minorEastAsia" w:hint="eastAsia"/>
          <w:szCs w:val="24"/>
        </w:rPr>
        <w:t>项目建设地点：西安市灞桥区新合街办宋家滩村村口</w:t>
      </w:r>
    </w:p>
    <w:p w:rsidR="00CF5F03" w:rsidRDefault="00D151A5">
      <w:pPr>
        <w:ind w:firstLine="480"/>
        <w:rPr>
          <w:rFonts w:asciiTheme="minorEastAsia" w:hAnsiTheme="minorEastAsia"/>
          <w:szCs w:val="24"/>
        </w:rPr>
      </w:pPr>
      <w:r>
        <w:rPr>
          <w:rFonts w:asciiTheme="minorEastAsia" w:hAnsiTheme="minorEastAsia" w:hint="eastAsia"/>
          <w:szCs w:val="24"/>
        </w:rPr>
        <w:t>项目建设性质：新建</w:t>
      </w:r>
    </w:p>
    <w:p w:rsidR="00CF5F03" w:rsidRDefault="00D151A5">
      <w:pPr>
        <w:ind w:firstLine="480"/>
        <w:rPr>
          <w:rFonts w:asciiTheme="minorEastAsia" w:hAnsiTheme="minorEastAsia"/>
          <w:szCs w:val="24"/>
        </w:rPr>
      </w:pPr>
      <w:r>
        <w:rPr>
          <w:rFonts w:asciiTheme="minorEastAsia" w:hAnsiTheme="minorEastAsia" w:hint="eastAsia"/>
          <w:szCs w:val="24"/>
        </w:rPr>
        <w:t>该加油站位于西安市灞桥区新合街办宋家滩村村口，主</w:t>
      </w:r>
      <w:r>
        <w:rPr>
          <w:rFonts w:asciiTheme="minorEastAsia" w:hAnsiTheme="minorEastAsia"/>
          <w:szCs w:val="24"/>
        </w:rPr>
        <w:t>要包括加油区、储罐区、罩棚、站房、洗车房。现有6座地埋卧式钢质油罐，其中：50m</w:t>
      </w:r>
      <w:r>
        <w:rPr>
          <w:rFonts w:asciiTheme="minorEastAsia" w:hAnsiTheme="minorEastAsia"/>
          <w:szCs w:val="24"/>
          <w:vertAlign w:val="superscript"/>
        </w:rPr>
        <w:t>3</w:t>
      </w:r>
      <w:r>
        <w:rPr>
          <w:rFonts w:asciiTheme="minorEastAsia" w:hAnsiTheme="minorEastAsia"/>
          <w:szCs w:val="24"/>
        </w:rPr>
        <w:t>柴油罐3座、30m</w:t>
      </w:r>
      <w:r>
        <w:rPr>
          <w:rFonts w:asciiTheme="minorEastAsia" w:hAnsiTheme="minorEastAsia"/>
          <w:szCs w:val="24"/>
          <w:vertAlign w:val="superscript"/>
        </w:rPr>
        <w:t>3</w:t>
      </w:r>
      <w:r>
        <w:rPr>
          <w:rFonts w:asciiTheme="minorEastAsia" w:hAnsiTheme="minorEastAsia"/>
          <w:szCs w:val="24"/>
        </w:rPr>
        <w:t>柴油罐1座、30m</w:t>
      </w:r>
      <w:r>
        <w:rPr>
          <w:rFonts w:asciiTheme="minorEastAsia" w:hAnsiTheme="minorEastAsia"/>
          <w:szCs w:val="24"/>
          <w:vertAlign w:val="superscript"/>
        </w:rPr>
        <w:t>3</w:t>
      </w:r>
      <w:r>
        <w:rPr>
          <w:rFonts w:asciiTheme="minorEastAsia" w:hAnsiTheme="minorEastAsia"/>
          <w:szCs w:val="24"/>
        </w:rPr>
        <w:t>汽油罐2座，为二级加油站。</w:t>
      </w:r>
    </w:p>
    <w:p w:rsidR="00CF5F03" w:rsidRDefault="00D151A5">
      <w:pPr>
        <w:ind w:firstLine="480"/>
        <w:rPr>
          <w:rFonts w:asciiTheme="minorEastAsia" w:hAnsiTheme="minorEastAsia"/>
          <w:szCs w:val="24"/>
        </w:rPr>
      </w:pPr>
      <w:r>
        <w:rPr>
          <w:rFonts w:asciiTheme="minorEastAsia" w:hAnsiTheme="minorEastAsia" w:hint="eastAsia"/>
          <w:szCs w:val="24"/>
        </w:rPr>
        <w:t>主要建设内容见表1。</w:t>
      </w:r>
    </w:p>
    <w:p w:rsidR="00CF5F03" w:rsidRDefault="00D151A5">
      <w:pPr>
        <w:ind w:firstLine="420"/>
        <w:jc w:val="center"/>
        <w:rPr>
          <w:rFonts w:asciiTheme="minorEastAsia" w:hAnsiTheme="minorEastAsia"/>
          <w:sz w:val="21"/>
          <w:szCs w:val="21"/>
        </w:rPr>
      </w:pPr>
      <w:r>
        <w:rPr>
          <w:rFonts w:asciiTheme="minorEastAsia" w:hAnsiTheme="minorEastAsia"/>
          <w:sz w:val="21"/>
          <w:szCs w:val="21"/>
        </w:rPr>
        <w:t>表</w:t>
      </w:r>
      <w:r>
        <w:rPr>
          <w:rFonts w:asciiTheme="minorEastAsia" w:hAnsiTheme="minorEastAsia" w:hint="eastAsia"/>
          <w:sz w:val="21"/>
          <w:szCs w:val="21"/>
        </w:rPr>
        <w:t>1</w:t>
      </w:r>
      <w:r>
        <w:rPr>
          <w:rFonts w:asciiTheme="minorEastAsia" w:hAnsiTheme="minorEastAsia"/>
          <w:sz w:val="21"/>
          <w:szCs w:val="21"/>
        </w:rPr>
        <w:t>工程项目组成表</w:t>
      </w:r>
    </w:p>
    <w:tbl>
      <w:tblPr>
        <w:tblStyle w:val="a8"/>
        <w:tblW w:w="8328" w:type="dxa"/>
        <w:jc w:val="center"/>
        <w:tblInd w:w="5" w:type="dxa"/>
        <w:tblBorders>
          <w:top w:val="double" w:sz="4" w:space="0" w:color="auto"/>
          <w:left w:val="none" w:sz="0" w:space="0" w:color="auto"/>
          <w:bottom w:val="double" w:sz="4" w:space="0" w:color="auto"/>
          <w:right w:val="none" w:sz="0" w:space="0" w:color="auto"/>
        </w:tblBorders>
        <w:tblLayout w:type="fixed"/>
        <w:tblLook w:val="04A0"/>
      </w:tblPr>
      <w:tblGrid>
        <w:gridCol w:w="799"/>
        <w:gridCol w:w="2550"/>
        <w:gridCol w:w="3051"/>
        <w:gridCol w:w="1928"/>
      </w:tblGrid>
      <w:tr w:rsidR="00CF5F03">
        <w:trPr>
          <w:trHeight w:val="510"/>
          <w:jc w:val="center"/>
        </w:trPr>
        <w:tc>
          <w:tcPr>
            <w:tcW w:w="799" w:type="dxa"/>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工程</w:t>
            </w:r>
          </w:p>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类别</w:t>
            </w:r>
          </w:p>
        </w:tc>
        <w:tc>
          <w:tcPr>
            <w:tcW w:w="2550" w:type="dxa"/>
            <w:tcBorders>
              <w:tl2br w:val="nil"/>
              <w:tr2bl w:val="nil"/>
            </w:tcBorders>
            <w:vAlign w:val="center"/>
          </w:tcPr>
          <w:p w:rsidR="00CF5F03" w:rsidRDefault="00D151A5" w:rsidP="005C1348">
            <w:pPr>
              <w:spacing w:line="240" w:lineRule="auto"/>
              <w:ind w:firstLine="420"/>
              <w:jc w:val="center"/>
              <w:rPr>
                <w:rFonts w:eastAsia="宋体"/>
                <w:color w:val="000000"/>
                <w:sz w:val="21"/>
                <w:szCs w:val="21"/>
              </w:rPr>
            </w:pPr>
            <w:r>
              <w:rPr>
                <w:rFonts w:eastAsia="宋体"/>
                <w:color w:val="000000"/>
                <w:sz w:val="21"/>
                <w:szCs w:val="21"/>
              </w:rPr>
              <w:t>环评建设内容</w:t>
            </w:r>
          </w:p>
        </w:tc>
        <w:tc>
          <w:tcPr>
            <w:tcW w:w="3051" w:type="dxa"/>
            <w:tcBorders>
              <w:tl2br w:val="nil"/>
              <w:tr2bl w:val="nil"/>
            </w:tcBorders>
            <w:vAlign w:val="center"/>
          </w:tcPr>
          <w:p w:rsidR="00CF5F03" w:rsidRDefault="00D151A5" w:rsidP="005C1348">
            <w:pPr>
              <w:spacing w:line="240" w:lineRule="auto"/>
              <w:ind w:firstLine="420"/>
              <w:jc w:val="center"/>
              <w:rPr>
                <w:rFonts w:eastAsia="宋体"/>
                <w:color w:val="000000"/>
                <w:sz w:val="21"/>
                <w:szCs w:val="21"/>
              </w:rPr>
            </w:pPr>
            <w:r>
              <w:rPr>
                <w:rFonts w:eastAsia="宋体"/>
                <w:color w:val="000000"/>
                <w:sz w:val="21"/>
                <w:szCs w:val="21"/>
              </w:rPr>
              <w:t>实际建设内容</w:t>
            </w:r>
          </w:p>
        </w:tc>
        <w:tc>
          <w:tcPr>
            <w:tcW w:w="1928" w:type="dxa"/>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是否与环评一致</w:t>
            </w:r>
          </w:p>
        </w:tc>
      </w:tr>
      <w:tr w:rsidR="00CF5F03">
        <w:trPr>
          <w:trHeight w:val="510"/>
          <w:jc w:val="center"/>
        </w:trPr>
        <w:tc>
          <w:tcPr>
            <w:tcW w:w="799" w:type="dxa"/>
            <w:vMerge w:val="restart"/>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主体工程</w:t>
            </w: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加油区：</w:t>
            </w:r>
            <w:r>
              <w:rPr>
                <w:rFonts w:eastAsia="宋体"/>
                <w:color w:val="000000"/>
                <w:sz w:val="21"/>
                <w:szCs w:val="21"/>
              </w:rPr>
              <w:t>8</w:t>
            </w:r>
            <w:r>
              <w:rPr>
                <w:rFonts w:eastAsia="宋体"/>
                <w:color w:val="000000"/>
                <w:sz w:val="21"/>
                <w:szCs w:val="21"/>
              </w:rPr>
              <w:t>台双枪税控加油机</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加油区：</w:t>
            </w:r>
            <w:r>
              <w:rPr>
                <w:rFonts w:eastAsia="宋体"/>
                <w:color w:val="000000"/>
                <w:sz w:val="21"/>
                <w:szCs w:val="21"/>
              </w:rPr>
              <w:t>8</w:t>
            </w:r>
            <w:r>
              <w:rPr>
                <w:rFonts w:eastAsia="宋体"/>
                <w:color w:val="000000"/>
                <w:sz w:val="21"/>
                <w:szCs w:val="21"/>
              </w:rPr>
              <w:t>台双枪税控加油机</w:t>
            </w:r>
          </w:p>
        </w:tc>
        <w:tc>
          <w:tcPr>
            <w:tcW w:w="1928" w:type="dxa"/>
            <w:vMerge w:val="restart"/>
            <w:tcBorders>
              <w:tl2br w:val="nil"/>
              <w:tr2bl w:val="nil"/>
            </w:tcBorders>
            <w:vAlign w:val="center"/>
          </w:tcPr>
          <w:p w:rsidR="00CF5F03" w:rsidRDefault="00D151A5" w:rsidP="005C1348">
            <w:pPr>
              <w:spacing w:line="240" w:lineRule="auto"/>
              <w:ind w:firstLine="420"/>
              <w:jc w:val="center"/>
              <w:rPr>
                <w:rFonts w:eastAsia="宋体"/>
                <w:color w:val="000000"/>
                <w:sz w:val="21"/>
                <w:szCs w:val="21"/>
              </w:rPr>
            </w:pPr>
            <w:r>
              <w:rPr>
                <w:rFonts w:eastAsia="宋体"/>
                <w:color w:val="000000"/>
                <w:sz w:val="21"/>
                <w:szCs w:val="21"/>
              </w:rPr>
              <w:t>不一致</w:t>
            </w: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vertAlign w:val="superscript"/>
              </w:rPr>
            </w:pPr>
            <w:r>
              <w:rPr>
                <w:rFonts w:eastAsia="宋体"/>
                <w:color w:val="000000"/>
                <w:sz w:val="21"/>
                <w:szCs w:val="21"/>
              </w:rPr>
              <w:t>储罐区：埋地单层钢制卧室油罐</w:t>
            </w:r>
            <w:r>
              <w:rPr>
                <w:rFonts w:eastAsia="宋体"/>
                <w:color w:val="000000"/>
                <w:sz w:val="21"/>
                <w:szCs w:val="21"/>
              </w:rPr>
              <w:t>6</w:t>
            </w:r>
            <w:r>
              <w:rPr>
                <w:rFonts w:eastAsia="宋体"/>
                <w:color w:val="000000"/>
                <w:sz w:val="21"/>
                <w:szCs w:val="21"/>
              </w:rPr>
              <w:t>个，</w:t>
            </w:r>
            <w:r>
              <w:rPr>
                <w:rFonts w:eastAsia="宋体"/>
                <w:color w:val="000000"/>
                <w:sz w:val="21"/>
                <w:szCs w:val="21"/>
              </w:rPr>
              <w:t>50</w:t>
            </w:r>
            <w:r>
              <w:rPr>
                <w:rFonts w:eastAsia="宋体"/>
                <w:sz w:val="21"/>
                <w:szCs w:val="21"/>
              </w:rPr>
              <w:t>m</w:t>
            </w:r>
            <w:r>
              <w:rPr>
                <w:rFonts w:eastAsia="宋体"/>
                <w:sz w:val="21"/>
                <w:szCs w:val="21"/>
                <w:vertAlign w:val="superscript"/>
              </w:rPr>
              <w:t>3</w:t>
            </w:r>
            <w:r>
              <w:rPr>
                <w:rFonts w:eastAsia="宋体"/>
                <w:color w:val="000000"/>
                <w:sz w:val="21"/>
                <w:szCs w:val="21"/>
              </w:rPr>
              <w:t>柴油</w:t>
            </w:r>
            <w:r>
              <w:rPr>
                <w:rFonts w:eastAsia="宋体"/>
                <w:color w:val="000000"/>
                <w:sz w:val="21"/>
                <w:szCs w:val="21"/>
              </w:rPr>
              <w:t>3</w:t>
            </w:r>
            <w:r>
              <w:rPr>
                <w:rFonts w:eastAsia="宋体"/>
                <w:color w:val="000000"/>
                <w:sz w:val="21"/>
                <w:szCs w:val="21"/>
              </w:rPr>
              <w:t>个，</w:t>
            </w:r>
            <w:r>
              <w:rPr>
                <w:rFonts w:eastAsia="宋体"/>
                <w:color w:val="000000"/>
                <w:sz w:val="21"/>
                <w:szCs w:val="21"/>
              </w:rPr>
              <w:t>30m</w:t>
            </w:r>
            <w:r>
              <w:rPr>
                <w:rFonts w:eastAsia="宋体"/>
                <w:color w:val="000000"/>
                <w:sz w:val="21"/>
                <w:szCs w:val="21"/>
                <w:vertAlign w:val="superscript"/>
              </w:rPr>
              <w:t>3</w:t>
            </w:r>
            <w:r>
              <w:rPr>
                <w:rFonts w:eastAsia="宋体"/>
                <w:color w:val="000000"/>
                <w:sz w:val="21"/>
                <w:szCs w:val="21"/>
              </w:rPr>
              <w:t>汽油</w:t>
            </w:r>
            <w:r>
              <w:rPr>
                <w:rFonts w:eastAsia="宋体"/>
                <w:color w:val="000000"/>
                <w:sz w:val="21"/>
                <w:szCs w:val="21"/>
              </w:rPr>
              <w:t>3</w:t>
            </w:r>
            <w:r>
              <w:rPr>
                <w:rFonts w:eastAsia="宋体"/>
                <w:color w:val="000000"/>
                <w:sz w:val="21"/>
                <w:szCs w:val="21"/>
              </w:rPr>
              <w:t>个。</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储罐区：埋地单层钢制卧室油罐</w:t>
            </w:r>
            <w:r>
              <w:rPr>
                <w:rFonts w:eastAsia="宋体"/>
                <w:color w:val="000000"/>
                <w:sz w:val="21"/>
                <w:szCs w:val="21"/>
              </w:rPr>
              <w:t>6</w:t>
            </w:r>
            <w:r>
              <w:rPr>
                <w:rFonts w:eastAsia="宋体"/>
                <w:color w:val="000000"/>
                <w:sz w:val="21"/>
                <w:szCs w:val="21"/>
              </w:rPr>
              <w:t>个，</w:t>
            </w:r>
            <w:r>
              <w:rPr>
                <w:rFonts w:eastAsia="宋体"/>
                <w:color w:val="000000"/>
                <w:sz w:val="21"/>
                <w:szCs w:val="21"/>
              </w:rPr>
              <w:t>30</w:t>
            </w:r>
            <w:r>
              <w:rPr>
                <w:rFonts w:eastAsia="宋体"/>
                <w:sz w:val="21"/>
                <w:szCs w:val="21"/>
              </w:rPr>
              <w:t>m</w:t>
            </w:r>
            <w:r>
              <w:rPr>
                <w:rFonts w:eastAsia="宋体"/>
                <w:sz w:val="21"/>
                <w:szCs w:val="21"/>
                <w:vertAlign w:val="superscript"/>
              </w:rPr>
              <w:t>3</w:t>
            </w:r>
            <w:r>
              <w:rPr>
                <w:rFonts w:eastAsia="宋体"/>
                <w:color w:val="000000"/>
                <w:sz w:val="21"/>
                <w:szCs w:val="21"/>
              </w:rPr>
              <w:t>汽油</w:t>
            </w:r>
            <w:r>
              <w:rPr>
                <w:rFonts w:eastAsia="宋体"/>
                <w:color w:val="000000"/>
                <w:sz w:val="21"/>
                <w:szCs w:val="21"/>
              </w:rPr>
              <w:t>2</w:t>
            </w:r>
            <w:r>
              <w:rPr>
                <w:rFonts w:eastAsia="宋体"/>
                <w:color w:val="000000"/>
                <w:sz w:val="21"/>
                <w:szCs w:val="21"/>
              </w:rPr>
              <w:t>个，</w:t>
            </w:r>
            <w:r>
              <w:rPr>
                <w:rFonts w:eastAsia="宋体"/>
                <w:color w:val="000000"/>
                <w:sz w:val="21"/>
                <w:szCs w:val="21"/>
              </w:rPr>
              <w:t>30</w:t>
            </w:r>
            <w:r>
              <w:rPr>
                <w:rFonts w:eastAsia="宋体"/>
                <w:sz w:val="21"/>
                <w:szCs w:val="21"/>
              </w:rPr>
              <w:t>m</w:t>
            </w:r>
            <w:r>
              <w:rPr>
                <w:rFonts w:eastAsia="宋体"/>
                <w:sz w:val="21"/>
                <w:szCs w:val="21"/>
                <w:vertAlign w:val="superscript"/>
              </w:rPr>
              <w:t>3</w:t>
            </w:r>
            <w:r>
              <w:rPr>
                <w:rFonts w:eastAsia="宋体"/>
                <w:color w:val="000000"/>
                <w:sz w:val="21"/>
                <w:szCs w:val="21"/>
              </w:rPr>
              <w:t>柴油</w:t>
            </w:r>
            <w:r>
              <w:rPr>
                <w:rFonts w:eastAsia="宋体"/>
                <w:color w:val="000000"/>
                <w:sz w:val="21"/>
                <w:szCs w:val="21"/>
              </w:rPr>
              <w:t>1</w:t>
            </w:r>
            <w:r>
              <w:rPr>
                <w:rFonts w:eastAsia="宋体"/>
                <w:color w:val="000000"/>
                <w:sz w:val="21"/>
                <w:szCs w:val="21"/>
              </w:rPr>
              <w:t>个，</w:t>
            </w:r>
            <w:r>
              <w:rPr>
                <w:rFonts w:eastAsia="宋体"/>
                <w:sz w:val="21"/>
                <w:szCs w:val="21"/>
              </w:rPr>
              <w:t>50m</w:t>
            </w:r>
            <w:r>
              <w:rPr>
                <w:rFonts w:eastAsia="宋体"/>
                <w:sz w:val="21"/>
                <w:szCs w:val="21"/>
                <w:vertAlign w:val="superscript"/>
              </w:rPr>
              <w:t>3</w:t>
            </w:r>
            <w:r>
              <w:rPr>
                <w:rFonts w:eastAsia="宋体"/>
                <w:color w:val="000000"/>
                <w:sz w:val="21"/>
                <w:szCs w:val="21"/>
              </w:rPr>
              <w:t>柴油</w:t>
            </w:r>
            <w:r>
              <w:rPr>
                <w:rFonts w:eastAsia="宋体"/>
                <w:color w:val="000000"/>
                <w:sz w:val="21"/>
                <w:szCs w:val="21"/>
              </w:rPr>
              <w:t>3</w:t>
            </w:r>
            <w:r>
              <w:rPr>
                <w:rFonts w:eastAsia="宋体"/>
                <w:color w:val="000000"/>
                <w:sz w:val="21"/>
                <w:szCs w:val="21"/>
              </w:rPr>
              <w:t>个。</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val="restart"/>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辅助工程</w:t>
            </w: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罩棚：轻钢结构，</w:t>
            </w:r>
            <w:r>
              <w:rPr>
                <w:rFonts w:eastAsia="宋体"/>
                <w:color w:val="000000"/>
                <w:sz w:val="21"/>
                <w:szCs w:val="21"/>
              </w:rPr>
              <w:t>1000m</w:t>
            </w:r>
            <w:r>
              <w:rPr>
                <w:rFonts w:eastAsia="宋体"/>
                <w:color w:val="000000"/>
                <w:sz w:val="21"/>
                <w:szCs w:val="21"/>
                <w:vertAlign w:val="superscript"/>
              </w:rPr>
              <w:t>2</w:t>
            </w:r>
            <w:r>
              <w:rPr>
                <w:rFonts w:eastAsia="宋体"/>
                <w:color w:val="000000"/>
                <w:sz w:val="21"/>
                <w:szCs w:val="21"/>
              </w:rPr>
              <w:t>，高</w:t>
            </w:r>
            <w:r>
              <w:rPr>
                <w:rFonts w:eastAsia="宋体"/>
                <w:color w:val="000000"/>
                <w:sz w:val="21"/>
                <w:szCs w:val="21"/>
              </w:rPr>
              <w:t>7.2m</w:t>
            </w:r>
            <w:r>
              <w:rPr>
                <w:rFonts w:eastAsia="宋体"/>
                <w:color w:val="000000"/>
                <w:sz w:val="21"/>
                <w:szCs w:val="21"/>
              </w:rPr>
              <w:t>。</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罩棚：轻钢结构，</w:t>
            </w:r>
            <w:r>
              <w:rPr>
                <w:rFonts w:eastAsia="宋体"/>
                <w:color w:val="000000"/>
                <w:sz w:val="21"/>
                <w:szCs w:val="21"/>
              </w:rPr>
              <w:t>1000m</w:t>
            </w:r>
            <w:r>
              <w:rPr>
                <w:rFonts w:eastAsia="宋体"/>
                <w:color w:val="000000"/>
                <w:sz w:val="21"/>
                <w:szCs w:val="21"/>
                <w:vertAlign w:val="superscript"/>
              </w:rPr>
              <w:t>2</w:t>
            </w:r>
            <w:r>
              <w:rPr>
                <w:rFonts w:eastAsia="宋体"/>
                <w:color w:val="000000"/>
                <w:sz w:val="21"/>
                <w:szCs w:val="21"/>
              </w:rPr>
              <w:t>，高</w:t>
            </w:r>
            <w:r>
              <w:rPr>
                <w:rFonts w:eastAsia="宋体"/>
                <w:color w:val="000000"/>
                <w:sz w:val="21"/>
                <w:szCs w:val="21"/>
              </w:rPr>
              <w:t>7.2m</w:t>
            </w:r>
          </w:p>
        </w:tc>
        <w:tc>
          <w:tcPr>
            <w:tcW w:w="1928" w:type="dxa"/>
            <w:vMerge w:val="restart"/>
            <w:tcBorders>
              <w:tl2br w:val="nil"/>
              <w:tr2bl w:val="nil"/>
            </w:tcBorders>
            <w:vAlign w:val="center"/>
          </w:tcPr>
          <w:p w:rsidR="00CF5F03" w:rsidRDefault="00D151A5" w:rsidP="005C1348">
            <w:pPr>
              <w:spacing w:line="240" w:lineRule="auto"/>
              <w:ind w:firstLine="420"/>
              <w:jc w:val="center"/>
              <w:rPr>
                <w:rFonts w:eastAsia="宋体"/>
                <w:color w:val="000000"/>
                <w:sz w:val="21"/>
                <w:szCs w:val="21"/>
              </w:rPr>
            </w:pPr>
            <w:r>
              <w:rPr>
                <w:rFonts w:eastAsia="宋体"/>
                <w:color w:val="000000"/>
                <w:sz w:val="21"/>
                <w:szCs w:val="21"/>
              </w:rPr>
              <w:t>一致</w:t>
            </w: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站房：砖混结构，</w:t>
            </w:r>
            <w:r>
              <w:rPr>
                <w:rFonts w:eastAsia="宋体"/>
                <w:color w:val="000000"/>
                <w:sz w:val="21"/>
                <w:szCs w:val="21"/>
              </w:rPr>
              <w:t>186.12m</w:t>
            </w:r>
            <w:r>
              <w:rPr>
                <w:rFonts w:eastAsia="宋体"/>
                <w:color w:val="000000"/>
                <w:sz w:val="21"/>
                <w:szCs w:val="21"/>
                <w:vertAlign w:val="superscript"/>
              </w:rPr>
              <w:t>2</w:t>
            </w:r>
            <w:r>
              <w:rPr>
                <w:rFonts w:eastAsia="宋体"/>
                <w:color w:val="000000"/>
                <w:sz w:val="21"/>
                <w:szCs w:val="21"/>
              </w:rPr>
              <w:t>。</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站房：砖混结构，</w:t>
            </w:r>
            <w:r>
              <w:rPr>
                <w:rFonts w:eastAsia="宋体"/>
                <w:color w:val="000000"/>
                <w:sz w:val="21"/>
                <w:szCs w:val="21"/>
              </w:rPr>
              <w:t>186.12m</w:t>
            </w:r>
            <w:r>
              <w:rPr>
                <w:rFonts w:eastAsia="宋体"/>
                <w:color w:val="000000"/>
                <w:sz w:val="21"/>
                <w:szCs w:val="21"/>
                <w:vertAlign w:val="superscript"/>
              </w:rPr>
              <w:t>2</w:t>
            </w:r>
            <w:r>
              <w:rPr>
                <w:rFonts w:eastAsia="宋体"/>
                <w:color w:val="000000"/>
                <w:sz w:val="21"/>
                <w:szCs w:val="21"/>
              </w:rPr>
              <w:t>。</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围墙：实体围墙。</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围墙：实体围墙。</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val="restart"/>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公用工程</w:t>
            </w: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给水：市政供水。</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给水：市政供水。</w:t>
            </w:r>
          </w:p>
        </w:tc>
        <w:tc>
          <w:tcPr>
            <w:tcW w:w="1928" w:type="dxa"/>
            <w:vMerge w:val="restart"/>
            <w:tcBorders>
              <w:tl2br w:val="nil"/>
              <w:tr2bl w:val="nil"/>
            </w:tcBorders>
            <w:vAlign w:val="center"/>
          </w:tcPr>
          <w:p w:rsidR="00CF5F03" w:rsidRDefault="00D151A5" w:rsidP="005C1348">
            <w:pPr>
              <w:spacing w:line="240" w:lineRule="auto"/>
              <w:ind w:firstLine="420"/>
              <w:jc w:val="center"/>
              <w:rPr>
                <w:rFonts w:eastAsia="宋体"/>
                <w:color w:val="000000"/>
                <w:sz w:val="21"/>
                <w:szCs w:val="21"/>
              </w:rPr>
            </w:pPr>
            <w:r>
              <w:rPr>
                <w:rFonts w:eastAsia="宋体"/>
                <w:color w:val="000000"/>
                <w:sz w:val="21"/>
                <w:szCs w:val="21"/>
              </w:rPr>
              <w:t>一致</w:t>
            </w: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排水：项目厂区内不设排</w:t>
            </w:r>
            <w:r>
              <w:rPr>
                <w:rFonts w:eastAsia="宋体"/>
                <w:color w:val="000000"/>
                <w:sz w:val="21"/>
                <w:szCs w:val="21"/>
              </w:rPr>
              <w:lastRenderedPageBreak/>
              <w:t>污口。</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lastRenderedPageBreak/>
              <w:t>排水：经化粪池处理后，交由西</w:t>
            </w:r>
            <w:r>
              <w:rPr>
                <w:rFonts w:eastAsia="宋体"/>
                <w:color w:val="000000"/>
                <w:sz w:val="21"/>
                <w:szCs w:val="21"/>
              </w:rPr>
              <w:lastRenderedPageBreak/>
              <w:t>安市第三污水厂处理。</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供电：由市政供电网引入，设备用发电机一台。</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供电：由市政供电网引入，设备用发电机一台。</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供暖、制冷：供暖，制冷均采用分体式空调</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供暖、制冷：供暖，制冷均采用分体式空调</w:t>
            </w:r>
          </w:p>
        </w:tc>
        <w:tc>
          <w:tcPr>
            <w:tcW w:w="1928"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r>
      <w:tr w:rsidR="00CF5F03">
        <w:trPr>
          <w:trHeight w:val="510"/>
          <w:jc w:val="center"/>
        </w:trPr>
        <w:tc>
          <w:tcPr>
            <w:tcW w:w="799" w:type="dxa"/>
            <w:vMerge w:val="restart"/>
            <w:tcBorders>
              <w:tl2br w:val="nil"/>
              <w:tr2bl w:val="nil"/>
            </w:tcBorders>
            <w:vAlign w:val="center"/>
          </w:tcPr>
          <w:p w:rsidR="00CF5F03" w:rsidRDefault="00D151A5">
            <w:pPr>
              <w:spacing w:line="240" w:lineRule="auto"/>
              <w:ind w:firstLineChars="0" w:firstLine="0"/>
              <w:jc w:val="both"/>
              <w:rPr>
                <w:rFonts w:eastAsia="宋体"/>
                <w:color w:val="000000"/>
                <w:sz w:val="21"/>
                <w:szCs w:val="21"/>
              </w:rPr>
            </w:pPr>
            <w:r>
              <w:rPr>
                <w:rFonts w:eastAsia="宋体"/>
                <w:color w:val="000000"/>
                <w:sz w:val="21"/>
                <w:szCs w:val="21"/>
              </w:rPr>
              <w:t>环保工程</w:t>
            </w: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废气：油罐采用地埋式设计，卸油口和加油机安装油气回收装置。</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废气：油罐采用地埋式设计，卸油口和加油机安装油气回收装置。</w:t>
            </w:r>
          </w:p>
        </w:tc>
        <w:tc>
          <w:tcPr>
            <w:tcW w:w="1928" w:type="dxa"/>
            <w:vMerge w:val="restart"/>
            <w:tcBorders>
              <w:tl2br w:val="nil"/>
              <w:tr2bl w:val="nil"/>
            </w:tcBorders>
            <w:vAlign w:val="center"/>
          </w:tcPr>
          <w:p w:rsidR="00CF5F03" w:rsidRDefault="00D151A5">
            <w:pPr>
              <w:spacing w:line="240" w:lineRule="auto"/>
              <w:ind w:firstLineChars="400" w:firstLine="840"/>
              <w:rPr>
                <w:rFonts w:eastAsia="宋体"/>
                <w:color w:val="000000"/>
                <w:sz w:val="21"/>
                <w:szCs w:val="21"/>
              </w:rPr>
            </w:pPr>
            <w:r>
              <w:rPr>
                <w:rFonts w:eastAsia="宋体"/>
                <w:color w:val="000000"/>
                <w:sz w:val="21"/>
                <w:szCs w:val="21"/>
              </w:rPr>
              <w:t>一致</w:t>
            </w:r>
          </w:p>
        </w:tc>
      </w:tr>
      <w:tr w:rsidR="00CF5F03">
        <w:trPr>
          <w:trHeight w:val="510"/>
          <w:jc w:val="center"/>
        </w:trPr>
        <w:tc>
          <w:tcPr>
            <w:tcW w:w="799" w:type="dxa"/>
            <w:vMerge/>
            <w:tcBorders>
              <w:tl2br w:val="nil"/>
              <w:tr2bl w:val="nil"/>
            </w:tcBorders>
            <w:vAlign w:val="center"/>
          </w:tcPr>
          <w:p w:rsidR="00CF5F03" w:rsidRDefault="00CF5F03">
            <w:pPr>
              <w:spacing w:line="240" w:lineRule="auto"/>
              <w:ind w:firstLineChars="0" w:firstLine="0"/>
              <w:jc w:val="both"/>
              <w:rPr>
                <w:rFonts w:eastAsia="宋体"/>
                <w:color w:val="000000"/>
                <w:sz w:val="21"/>
                <w:szCs w:val="21"/>
              </w:rPr>
            </w:pPr>
          </w:p>
        </w:tc>
        <w:tc>
          <w:tcPr>
            <w:tcW w:w="2550" w:type="dxa"/>
            <w:tcBorders>
              <w:tl2br w:val="nil"/>
              <w:tr2bl w:val="nil"/>
            </w:tcBorders>
            <w:vAlign w:val="center"/>
          </w:tcPr>
          <w:p w:rsidR="00CF5F03" w:rsidRPr="005C1348" w:rsidRDefault="00D151A5">
            <w:pPr>
              <w:spacing w:line="240" w:lineRule="auto"/>
              <w:ind w:firstLineChars="0" w:firstLine="0"/>
              <w:rPr>
                <w:rFonts w:eastAsia="宋体"/>
                <w:color w:val="FF0000"/>
                <w:sz w:val="21"/>
                <w:szCs w:val="21"/>
              </w:rPr>
            </w:pPr>
            <w:r w:rsidRPr="005C1348">
              <w:rPr>
                <w:rFonts w:eastAsia="宋体"/>
                <w:color w:val="FF0000"/>
                <w:sz w:val="21"/>
                <w:szCs w:val="21"/>
              </w:rPr>
              <w:t>污水：项目地面冲洗废水与其他生活污水一起进入化粪池，后由第三污水厂定期处理，项目要求自建隔油池，地面冲洗废水经隔油池处理后再与其他生活污水混合。</w:t>
            </w:r>
          </w:p>
        </w:tc>
        <w:tc>
          <w:tcPr>
            <w:tcW w:w="3051" w:type="dxa"/>
            <w:tcBorders>
              <w:tl2br w:val="nil"/>
              <w:tr2bl w:val="nil"/>
            </w:tcBorders>
            <w:vAlign w:val="center"/>
          </w:tcPr>
          <w:p w:rsidR="00CF5F03" w:rsidRPr="005C1348" w:rsidRDefault="00D151A5">
            <w:pPr>
              <w:spacing w:line="240" w:lineRule="auto"/>
              <w:ind w:firstLineChars="0" w:firstLine="0"/>
              <w:rPr>
                <w:rFonts w:eastAsia="宋体"/>
                <w:color w:val="FF0000"/>
                <w:sz w:val="21"/>
                <w:szCs w:val="21"/>
              </w:rPr>
            </w:pPr>
            <w:r w:rsidRPr="005C1348">
              <w:rPr>
                <w:rFonts w:eastAsia="宋体"/>
                <w:color w:val="FF0000"/>
                <w:sz w:val="21"/>
                <w:szCs w:val="21"/>
              </w:rPr>
              <w:t>污水：项目地面冲洗废水经隔油池处理后汇入化粪池，并定期运至西安市第三污水厂处理。</w:t>
            </w:r>
          </w:p>
        </w:tc>
        <w:tc>
          <w:tcPr>
            <w:tcW w:w="1928" w:type="dxa"/>
            <w:vMerge/>
            <w:tcBorders>
              <w:tl2br w:val="nil"/>
              <w:tr2bl w:val="nil"/>
            </w:tcBorders>
            <w:vAlign w:val="center"/>
          </w:tcPr>
          <w:p w:rsidR="00CF5F03" w:rsidRDefault="00CF5F03" w:rsidP="005C1348">
            <w:pPr>
              <w:spacing w:line="240" w:lineRule="auto"/>
              <w:ind w:firstLine="420"/>
              <w:rPr>
                <w:rFonts w:eastAsia="宋体"/>
                <w:color w:val="000000"/>
                <w:sz w:val="21"/>
                <w:szCs w:val="21"/>
              </w:rPr>
            </w:pPr>
          </w:p>
        </w:tc>
      </w:tr>
      <w:tr w:rsidR="00CF5F03">
        <w:trPr>
          <w:trHeight w:val="510"/>
          <w:jc w:val="center"/>
        </w:trPr>
        <w:tc>
          <w:tcPr>
            <w:tcW w:w="799" w:type="dxa"/>
            <w:vMerge/>
            <w:tcBorders>
              <w:tl2br w:val="nil"/>
              <w:tr2bl w:val="nil"/>
            </w:tcBorders>
            <w:vAlign w:val="center"/>
          </w:tcPr>
          <w:p w:rsidR="00CF5F03" w:rsidRDefault="00CF5F03" w:rsidP="005C1348">
            <w:pPr>
              <w:spacing w:line="240" w:lineRule="auto"/>
              <w:ind w:firstLine="420"/>
              <w:jc w:val="center"/>
              <w:rPr>
                <w:rFonts w:eastAsia="宋体"/>
                <w:color w:val="000000"/>
                <w:sz w:val="21"/>
                <w:szCs w:val="21"/>
              </w:rPr>
            </w:pPr>
          </w:p>
        </w:tc>
        <w:tc>
          <w:tcPr>
            <w:tcW w:w="2550"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绿化：战区内进行绿化。</w:t>
            </w:r>
          </w:p>
        </w:tc>
        <w:tc>
          <w:tcPr>
            <w:tcW w:w="3051" w:type="dxa"/>
            <w:tcBorders>
              <w:tl2br w:val="nil"/>
              <w:tr2bl w:val="nil"/>
            </w:tcBorders>
            <w:vAlign w:val="center"/>
          </w:tcPr>
          <w:p w:rsidR="00CF5F03" w:rsidRDefault="00D151A5">
            <w:pPr>
              <w:spacing w:line="240" w:lineRule="auto"/>
              <w:ind w:firstLineChars="0" w:firstLine="0"/>
              <w:rPr>
                <w:rFonts w:eastAsia="宋体"/>
                <w:color w:val="000000"/>
                <w:sz w:val="21"/>
                <w:szCs w:val="21"/>
              </w:rPr>
            </w:pPr>
            <w:r>
              <w:rPr>
                <w:rFonts w:eastAsia="宋体"/>
                <w:color w:val="000000"/>
                <w:sz w:val="21"/>
                <w:szCs w:val="21"/>
              </w:rPr>
              <w:t>绿化：战区内进行绿化。</w:t>
            </w:r>
          </w:p>
        </w:tc>
        <w:tc>
          <w:tcPr>
            <w:tcW w:w="1928" w:type="dxa"/>
            <w:vMerge/>
            <w:tcBorders>
              <w:tl2br w:val="nil"/>
              <w:tr2bl w:val="nil"/>
            </w:tcBorders>
            <w:vAlign w:val="center"/>
          </w:tcPr>
          <w:p w:rsidR="00CF5F03" w:rsidRDefault="00CF5F03" w:rsidP="005C1348">
            <w:pPr>
              <w:spacing w:line="240" w:lineRule="auto"/>
              <w:ind w:firstLine="420"/>
              <w:rPr>
                <w:rFonts w:eastAsia="宋体"/>
                <w:color w:val="000000"/>
                <w:sz w:val="21"/>
                <w:szCs w:val="21"/>
              </w:rPr>
            </w:pPr>
          </w:p>
        </w:tc>
      </w:tr>
    </w:tbl>
    <w:p w:rsidR="00CF5F03" w:rsidRDefault="00D151A5">
      <w:pPr>
        <w:pStyle w:val="2"/>
        <w:rPr>
          <w:rFonts w:hAnsi="Times New Roman"/>
        </w:rPr>
      </w:pPr>
      <w:r>
        <w:t>二、工程变更情况</w:t>
      </w:r>
      <w:r>
        <w:rPr>
          <w:rFonts w:hint="eastAsia"/>
        </w:rPr>
        <w:t>及运行工况</w:t>
      </w:r>
    </w:p>
    <w:p w:rsidR="00CF5F03" w:rsidRDefault="00D151A5">
      <w:pPr>
        <w:ind w:firstLine="480"/>
        <w:outlineLvl w:val="1"/>
        <w:rPr>
          <w:rFonts w:eastAsia="宋体"/>
        </w:rPr>
      </w:pPr>
      <w:r>
        <w:rPr>
          <w:rFonts w:eastAsia="宋体" w:hint="eastAsia"/>
        </w:rPr>
        <w:t>根据《环境保护部办公厅关于印发环评管理中部分行业建设项目重大变动清单的通知》（环办</w:t>
      </w:r>
      <w:r>
        <w:rPr>
          <w:rFonts w:eastAsia="宋体" w:hint="eastAsia"/>
        </w:rPr>
        <w:t>[2015]52</w:t>
      </w:r>
      <w:r>
        <w:rPr>
          <w:rFonts w:eastAsia="宋体" w:hint="eastAsia"/>
        </w:rPr>
        <w:t>号），本项目不属于重大变动。验收期间项目生产负荷达到设计能力的</w:t>
      </w:r>
      <w:r>
        <w:rPr>
          <w:rFonts w:eastAsia="宋体" w:hint="eastAsia"/>
        </w:rPr>
        <w:t>93</w:t>
      </w:r>
      <w:r>
        <w:rPr>
          <w:rFonts w:eastAsia="宋体"/>
        </w:rPr>
        <w:t>%-</w:t>
      </w:r>
      <w:r>
        <w:rPr>
          <w:rFonts w:eastAsia="宋体" w:hint="eastAsia"/>
        </w:rPr>
        <w:t>97%</w:t>
      </w:r>
      <w:r>
        <w:rPr>
          <w:rFonts w:eastAsia="宋体" w:hint="eastAsia"/>
        </w:rPr>
        <w:t>，整体运行稳定，满足验收要求。</w:t>
      </w:r>
    </w:p>
    <w:p w:rsidR="00CF5F03" w:rsidRDefault="00D151A5">
      <w:pPr>
        <w:pStyle w:val="2"/>
      </w:pPr>
      <w:r>
        <w:t>三、</w:t>
      </w:r>
      <w:r>
        <w:rPr>
          <w:rFonts w:hint="eastAsia"/>
        </w:rPr>
        <w:t>环保设施建设情况</w:t>
      </w:r>
    </w:p>
    <w:p w:rsidR="00CF5F03" w:rsidRDefault="00D151A5">
      <w:pPr>
        <w:ind w:firstLine="480"/>
        <w:outlineLvl w:val="1"/>
        <w:rPr>
          <w:rFonts w:eastAsia="宋体"/>
        </w:rPr>
      </w:pPr>
      <w:r>
        <w:rPr>
          <w:rFonts w:eastAsia="宋体" w:hint="eastAsia"/>
        </w:rPr>
        <w:t>1</w:t>
      </w:r>
      <w:r>
        <w:rPr>
          <w:rFonts w:eastAsia="宋体" w:hint="eastAsia"/>
        </w:rPr>
        <w:t>、噪声治理设施</w:t>
      </w:r>
    </w:p>
    <w:p w:rsidR="00CF5F03" w:rsidRDefault="00D151A5">
      <w:pPr>
        <w:ind w:firstLine="480"/>
        <w:outlineLvl w:val="1"/>
        <w:rPr>
          <w:rFonts w:eastAsia="宋体"/>
        </w:rPr>
      </w:pPr>
      <w:r>
        <w:rPr>
          <w:rFonts w:eastAsia="宋体" w:hint="eastAsia"/>
        </w:rPr>
        <w:t>该加油站噪声主要为进出加油站的机动车产生的交通噪声，以及压缩机、提升泵、发电机等设备噪声，项目购买低噪声设备，并通过隔音、减振等措施降低噪声排放强度，满足环评及批复要求。</w:t>
      </w:r>
    </w:p>
    <w:p w:rsidR="00CF5F03" w:rsidRDefault="00D151A5">
      <w:pPr>
        <w:ind w:firstLine="480"/>
        <w:outlineLvl w:val="1"/>
        <w:rPr>
          <w:rFonts w:eastAsia="宋体"/>
        </w:rPr>
      </w:pPr>
      <w:r>
        <w:rPr>
          <w:rFonts w:eastAsia="宋体" w:hint="eastAsia"/>
        </w:rPr>
        <w:t>2</w:t>
      </w:r>
      <w:r>
        <w:rPr>
          <w:rFonts w:eastAsia="宋体" w:hint="eastAsia"/>
        </w:rPr>
        <w:t>、固废治理设施</w:t>
      </w:r>
    </w:p>
    <w:p w:rsidR="00CF5F03" w:rsidRDefault="00D151A5">
      <w:pPr>
        <w:ind w:firstLine="480"/>
        <w:outlineLvl w:val="1"/>
        <w:rPr>
          <w:rFonts w:eastAsia="宋体"/>
        </w:rPr>
      </w:pPr>
      <w:r>
        <w:rPr>
          <w:rFonts w:eastAsia="宋体" w:hint="eastAsia"/>
        </w:rPr>
        <w:t>本加油站固体废物主要包括加油站日常设施维护产生废弃抹布、废油沙、油罐清洗废渣、隔油池清理的底泥，职工生活垃圾和设备维护时产生的清洗废液、少量废手套、毛巾、工作服等。废油沙、油罐清洗废渣、隔油池清理的底泥等属于危险废物，定期交由陕西明瑞资源再生有限公司运营处理，满足环评及批复要求。</w:t>
      </w:r>
    </w:p>
    <w:p w:rsidR="00CF5F03" w:rsidRDefault="00D151A5">
      <w:pPr>
        <w:pStyle w:val="2"/>
      </w:pPr>
      <w:r>
        <w:rPr>
          <w:rFonts w:hint="eastAsia"/>
        </w:rPr>
        <w:t>四、环境保护设施</w:t>
      </w:r>
      <w:r w:rsidR="00C20F42">
        <w:rPr>
          <w:rFonts w:hint="eastAsia"/>
        </w:rPr>
        <w:t>运行调试效果</w:t>
      </w:r>
    </w:p>
    <w:p w:rsidR="00CF5F03" w:rsidRDefault="00D151A5">
      <w:pPr>
        <w:ind w:firstLine="480"/>
        <w:outlineLvl w:val="1"/>
        <w:rPr>
          <w:rFonts w:eastAsia="宋体"/>
        </w:rPr>
      </w:pPr>
      <w:r>
        <w:rPr>
          <w:rFonts w:eastAsia="宋体" w:hint="eastAsia"/>
        </w:rPr>
        <w:t>1.</w:t>
      </w:r>
      <w:r>
        <w:rPr>
          <w:rFonts w:eastAsia="宋体" w:hint="eastAsia"/>
        </w:rPr>
        <w:t>噪声</w:t>
      </w:r>
    </w:p>
    <w:p w:rsidR="00CF5F03" w:rsidRDefault="00D151A5">
      <w:pPr>
        <w:ind w:firstLine="480"/>
        <w:outlineLvl w:val="1"/>
        <w:rPr>
          <w:rFonts w:eastAsia="宋体"/>
        </w:rPr>
      </w:pPr>
      <w:r>
        <w:rPr>
          <w:rFonts w:eastAsia="宋体" w:hint="eastAsia"/>
        </w:rPr>
        <w:t>该加油站选用低噪声设备，对来往车辆进行引导，并且设立警示牌。</w:t>
      </w:r>
    </w:p>
    <w:p w:rsidR="00CF5F03" w:rsidRDefault="00D151A5">
      <w:pPr>
        <w:pStyle w:val="a0"/>
        <w:numPr>
          <w:ilvl w:val="0"/>
          <w:numId w:val="1"/>
        </w:numPr>
        <w:ind w:firstLine="480"/>
      </w:pPr>
      <w:r>
        <w:rPr>
          <w:rFonts w:hint="eastAsia"/>
        </w:rPr>
        <w:t>固体废弃物</w:t>
      </w:r>
    </w:p>
    <w:p w:rsidR="00CF5F03" w:rsidRDefault="005C1348">
      <w:pPr>
        <w:pStyle w:val="a0"/>
        <w:ind w:firstLine="480"/>
      </w:pPr>
      <w:r>
        <w:rPr>
          <w:rFonts w:hint="eastAsia"/>
        </w:rPr>
        <w:lastRenderedPageBreak/>
        <w:t>项目运行产生的一般固废主要为生活垃圾，交环卫部门处理。</w:t>
      </w:r>
      <w:r w:rsidR="00D151A5">
        <w:rPr>
          <w:rFonts w:hint="eastAsia"/>
        </w:rPr>
        <w:t>加油站</w:t>
      </w:r>
      <w:r>
        <w:rPr>
          <w:rFonts w:hint="eastAsia"/>
        </w:rPr>
        <w:t>内</w:t>
      </w:r>
      <w:r w:rsidR="00D151A5">
        <w:rPr>
          <w:rFonts w:hint="eastAsia"/>
        </w:rPr>
        <w:t>设有危废储存间，并定期交由陕西明瑞资源再生有限公司处理。</w:t>
      </w:r>
    </w:p>
    <w:p w:rsidR="00CF5F03" w:rsidRDefault="00D151A5">
      <w:pPr>
        <w:pStyle w:val="2"/>
      </w:pPr>
      <w:r>
        <w:rPr>
          <w:rFonts w:hint="eastAsia"/>
        </w:rPr>
        <w:t>五、工程建设对环境的影响</w:t>
      </w:r>
    </w:p>
    <w:p w:rsidR="00CF5F03" w:rsidRDefault="00D151A5">
      <w:pPr>
        <w:ind w:firstLine="480"/>
        <w:rPr>
          <w:szCs w:val="24"/>
        </w:rPr>
      </w:pPr>
      <w:r>
        <w:rPr>
          <w:szCs w:val="24"/>
        </w:rPr>
        <w:t>验收监测期间，西安秦灞加油站厂界噪声南侧、东侧和北侧各监测点昼间、夜间均符合《工业企业厂界环境噪声排放标准》（</w:t>
      </w:r>
      <w:r>
        <w:rPr>
          <w:szCs w:val="24"/>
        </w:rPr>
        <w:t>GB 12348-2008</w:t>
      </w:r>
      <w:r>
        <w:rPr>
          <w:szCs w:val="24"/>
        </w:rPr>
        <w:t>）表</w:t>
      </w:r>
      <w:r>
        <w:rPr>
          <w:szCs w:val="24"/>
        </w:rPr>
        <w:t>1</w:t>
      </w:r>
      <w:r>
        <w:rPr>
          <w:szCs w:val="24"/>
        </w:rPr>
        <w:t>中</w:t>
      </w:r>
      <w:r>
        <w:rPr>
          <w:szCs w:val="24"/>
        </w:rPr>
        <w:t>2</w:t>
      </w:r>
      <w:r>
        <w:rPr>
          <w:szCs w:val="24"/>
        </w:rPr>
        <w:t>类区标准，西侧监测点昼间、夜间噪声符合表</w:t>
      </w:r>
      <w:r>
        <w:rPr>
          <w:szCs w:val="24"/>
        </w:rPr>
        <w:t>1</w:t>
      </w:r>
      <w:r>
        <w:rPr>
          <w:szCs w:val="24"/>
        </w:rPr>
        <w:t>中</w:t>
      </w:r>
      <w:r>
        <w:rPr>
          <w:szCs w:val="24"/>
        </w:rPr>
        <w:t>4</w:t>
      </w:r>
      <w:r>
        <w:rPr>
          <w:szCs w:val="24"/>
        </w:rPr>
        <w:t>类区标准</w:t>
      </w:r>
      <w:r w:rsidR="005C1348">
        <w:rPr>
          <w:rFonts w:hint="eastAsia"/>
          <w:szCs w:val="24"/>
        </w:rPr>
        <w:t>，对环境影响较小。</w:t>
      </w:r>
    </w:p>
    <w:p w:rsidR="00CF5F03" w:rsidRDefault="00D151A5">
      <w:pPr>
        <w:pStyle w:val="2"/>
        <w:tabs>
          <w:tab w:val="left" w:pos="709"/>
        </w:tabs>
        <w:spacing w:line="540" w:lineRule="exact"/>
      </w:pPr>
      <w:r>
        <w:rPr>
          <w:rFonts w:hint="eastAsia"/>
        </w:rPr>
        <w:t>六</w:t>
      </w:r>
      <w:r>
        <w:t>、</w:t>
      </w:r>
      <w:r>
        <w:rPr>
          <w:rFonts w:hint="eastAsia"/>
        </w:rPr>
        <w:t>验收组意见</w:t>
      </w:r>
    </w:p>
    <w:p w:rsidR="00CF5F03" w:rsidRDefault="00D151A5">
      <w:pPr>
        <w:ind w:firstLine="480"/>
      </w:pPr>
      <w:r>
        <w:rPr>
          <w:rFonts w:hint="eastAsia"/>
          <w:szCs w:val="24"/>
        </w:rPr>
        <w:t>西安秦灞加油站</w:t>
      </w:r>
      <w:r>
        <w:rPr>
          <w:rFonts w:hint="eastAsia"/>
        </w:rPr>
        <w:t>基本按照要求落实环评及批复文件提出的</w:t>
      </w:r>
      <w:r w:rsidR="00C20F42">
        <w:rPr>
          <w:rFonts w:hint="eastAsia"/>
        </w:rPr>
        <w:t>噪声和固废</w:t>
      </w:r>
      <w:r>
        <w:rPr>
          <w:rFonts w:hint="eastAsia"/>
        </w:rPr>
        <w:t>污染防治措施，环保设施运行正常。根据竣工环境保护验收监测报告的监测结果，</w:t>
      </w:r>
      <w:r w:rsidR="005C1348">
        <w:rPr>
          <w:rFonts w:hint="eastAsia"/>
        </w:rPr>
        <w:t>噪声、固废均</w:t>
      </w:r>
      <w:r>
        <w:rPr>
          <w:rFonts w:hint="eastAsia"/>
        </w:rPr>
        <w:t>可以实现达标排放，</w:t>
      </w:r>
      <w:r>
        <w:rPr>
          <w:rFonts w:hint="eastAsia"/>
          <w:szCs w:val="24"/>
        </w:rPr>
        <w:t>验收组</w:t>
      </w:r>
      <w:r>
        <w:rPr>
          <w:rFonts w:hint="eastAsia"/>
        </w:rPr>
        <w:t>同意项目通过竣工环境保护验收。</w:t>
      </w:r>
    </w:p>
    <w:p w:rsidR="00CF5F03" w:rsidRDefault="00D151A5">
      <w:pPr>
        <w:pStyle w:val="2"/>
        <w:tabs>
          <w:tab w:val="left" w:pos="709"/>
        </w:tabs>
        <w:spacing w:line="540" w:lineRule="exact"/>
      </w:pPr>
      <w:r>
        <w:rPr>
          <w:rFonts w:hint="eastAsia"/>
        </w:rPr>
        <w:t>七、后续要求</w:t>
      </w:r>
    </w:p>
    <w:p w:rsidR="00CF5F03" w:rsidRDefault="005C1348" w:rsidP="0040711C">
      <w:pPr>
        <w:ind w:firstLine="480"/>
      </w:pPr>
      <w:r>
        <w:rPr>
          <w:rFonts w:hint="eastAsia"/>
        </w:rPr>
        <w:t>加强管理，完善危废</w:t>
      </w:r>
      <w:r w:rsidR="00C20F42">
        <w:rPr>
          <w:rFonts w:hint="eastAsia"/>
        </w:rPr>
        <w:t>暂存</w:t>
      </w:r>
      <w:r>
        <w:rPr>
          <w:rFonts w:hint="eastAsia"/>
        </w:rPr>
        <w:t>场所环保标识，建立危险废物管理台账制度。</w:t>
      </w:r>
    </w:p>
    <w:p w:rsidR="00CF5F03" w:rsidRDefault="00D151A5">
      <w:pPr>
        <w:pStyle w:val="2"/>
        <w:tabs>
          <w:tab w:val="left" w:pos="709"/>
        </w:tabs>
        <w:spacing w:line="540" w:lineRule="exact"/>
      </w:pPr>
      <w:r>
        <w:rPr>
          <w:rFonts w:hint="eastAsia"/>
        </w:rPr>
        <w:t>八、验收人员信息</w:t>
      </w:r>
    </w:p>
    <w:p w:rsidR="00CF5F03" w:rsidRDefault="00D151A5">
      <w:pPr>
        <w:ind w:right="960" w:firstLine="480"/>
        <w:rPr>
          <w:rFonts w:eastAsia="宋体"/>
        </w:rPr>
      </w:pPr>
      <w:r>
        <w:rPr>
          <w:rFonts w:eastAsia="宋体" w:hint="eastAsia"/>
        </w:rPr>
        <w:t>参加验收的单位、人员名单等见验收组名单。</w:t>
      </w:r>
    </w:p>
    <w:p w:rsidR="00CF5F03" w:rsidRDefault="00CF5F03">
      <w:pPr>
        <w:spacing w:line="620" w:lineRule="exact"/>
        <w:ind w:leftChars="200" w:left="480" w:right="480" w:firstLineChars="1900" w:firstLine="4560"/>
        <w:rPr>
          <w:color w:val="FF0000"/>
        </w:rPr>
      </w:pPr>
    </w:p>
    <w:p w:rsidR="00CF5F03" w:rsidRDefault="00CF5F03">
      <w:pPr>
        <w:spacing w:line="620" w:lineRule="exact"/>
        <w:ind w:leftChars="200" w:left="480" w:right="480" w:firstLineChars="1900" w:firstLine="4560"/>
      </w:pPr>
    </w:p>
    <w:p w:rsidR="00CF5F03" w:rsidRDefault="00D151A5" w:rsidP="005C1348">
      <w:pPr>
        <w:wordWrap w:val="0"/>
        <w:spacing w:line="620" w:lineRule="exact"/>
        <w:ind w:right="480" w:firstLineChars="0" w:firstLine="0"/>
        <w:jc w:val="right"/>
        <w:rPr>
          <w:szCs w:val="24"/>
        </w:rPr>
      </w:pPr>
      <w:r>
        <w:rPr>
          <w:rFonts w:hint="eastAsia"/>
          <w:szCs w:val="24"/>
        </w:rPr>
        <w:t xml:space="preserve">                                              </w:t>
      </w:r>
      <w:r>
        <w:rPr>
          <w:rFonts w:hint="eastAsia"/>
          <w:szCs w:val="24"/>
        </w:rPr>
        <w:t>西安秦灞加油站</w:t>
      </w:r>
      <w:r w:rsidR="005C1348">
        <w:rPr>
          <w:rFonts w:hint="eastAsia"/>
          <w:szCs w:val="24"/>
        </w:rPr>
        <w:t xml:space="preserve"> </w:t>
      </w:r>
    </w:p>
    <w:p w:rsidR="00CF5F03" w:rsidRDefault="00D151A5">
      <w:pPr>
        <w:wordWrap w:val="0"/>
        <w:spacing w:line="620" w:lineRule="exact"/>
        <w:ind w:right="480" w:firstLineChars="0" w:firstLine="0"/>
        <w:jc w:val="right"/>
      </w:pPr>
      <w:r>
        <w:t>201</w:t>
      </w:r>
      <w:r>
        <w:rPr>
          <w:rFonts w:hint="eastAsia"/>
        </w:rPr>
        <w:t>8</w:t>
      </w:r>
      <w:r>
        <w:t>年</w:t>
      </w:r>
      <w:bookmarkStart w:id="0" w:name="_GoBack"/>
      <w:bookmarkEnd w:id="0"/>
      <w:r>
        <w:rPr>
          <w:rFonts w:hint="eastAsia"/>
        </w:rPr>
        <w:t>8</w:t>
      </w:r>
      <w:r>
        <w:t>月</w:t>
      </w:r>
      <w:r>
        <w:rPr>
          <w:rFonts w:hint="eastAsia"/>
        </w:rPr>
        <w:t>24</w:t>
      </w:r>
      <w:r>
        <w:t>日</w:t>
      </w:r>
    </w:p>
    <w:sectPr w:rsidR="00CF5F03" w:rsidSect="00CF5F0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62D" w:rsidRDefault="0006162D" w:rsidP="00CF5F03">
      <w:pPr>
        <w:spacing w:line="240" w:lineRule="auto"/>
        <w:ind w:firstLine="480"/>
      </w:pPr>
      <w:r>
        <w:separator/>
      </w:r>
    </w:p>
  </w:endnote>
  <w:endnote w:type="continuationSeparator" w:id="1">
    <w:p w:rsidR="0006162D" w:rsidRDefault="0006162D" w:rsidP="00CF5F0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CF5F03">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6206BD">
    <w:pPr>
      <w:pStyle w:val="a5"/>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CF5F03" w:rsidRDefault="006206BD">
                <w:pPr>
                  <w:pStyle w:val="a5"/>
                  <w:ind w:firstLine="360"/>
                </w:pPr>
                <w:r>
                  <w:rPr>
                    <w:rFonts w:hint="eastAsia"/>
                  </w:rPr>
                  <w:fldChar w:fldCharType="begin"/>
                </w:r>
                <w:r w:rsidR="00D151A5">
                  <w:rPr>
                    <w:rFonts w:hint="eastAsia"/>
                  </w:rPr>
                  <w:instrText xml:space="preserve"> PAGE  \* MERGEFORMAT </w:instrText>
                </w:r>
                <w:r>
                  <w:rPr>
                    <w:rFonts w:hint="eastAsia"/>
                  </w:rPr>
                  <w:fldChar w:fldCharType="separate"/>
                </w:r>
                <w:r w:rsidR="00DE26D8">
                  <w:rPr>
                    <w:noProof/>
                  </w:rPr>
                  <w:t>3</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CF5F03">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62D" w:rsidRDefault="0006162D" w:rsidP="00CF5F03">
      <w:pPr>
        <w:spacing w:line="240" w:lineRule="auto"/>
        <w:ind w:firstLine="480"/>
      </w:pPr>
      <w:r>
        <w:separator/>
      </w:r>
    </w:p>
  </w:footnote>
  <w:footnote w:type="continuationSeparator" w:id="1">
    <w:p w:rsidR="0006162D" w:rsidRDefault="0006162D" w:rsidP="00CF5F0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CF5F03">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CF5F03">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F03" w:rsidRDefault="00CF5F03">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4A4E0"/>
    <w:multiLevelType w:val="singleLevel"/>
    <w:tmpl w:val="73A4A4E0"/>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67A"/>
    <w:rsid w:val="00011846"/>
    <w:rsid w:val="0006162D"/>
    <w:rsid w:val="0009371B"/>
    <w:rsid w:val="002257FF"/>
    <w:rsid w:val="0027567A"/>
    <w:rsid w:val="00290128"/>
    <w:rsid w:val="00313A9D"/>
    <w:rsid w:val="003D4697"/>
    <w:rsid w:val="0040711C"/>
    <w:rsid w:val="0049247E"/>
    <w:rsid w:val="004F03C3"/>
    <w:rsid w:val="005139EA"/>
    <w:rsid w:val="005C1348"/>
    <w:rsid w:val="005D58FB"/>
    <w:rsid w:val="00613743"/>
    <w:rsid w:val="006206BD"/>
    <w:rsid w:val="00636F21"/>
    <w:rsid w:val="00645570"/>
    <w:rsid w:val="0071576F"/>
    <w:rsid w:val="00760E6E"/>
    <w:rsid w:val="008C04CC"/>
    <w:rsid w:val="008E7BFB"/>
    <w:rsid w:val="008F0B50"/>
    <w:rsid w:val="00912628"/>
    <w:rsid w:val="0093025F"/>
    <w:rsid w:val="00985B31"/>
    <w:rsid w:val="009A2799"/>
    <w:rsid w:val="00A40A59"/>
    <w:rsid w:val="00A82069"/>
    <w:rsid w:val="00AA62E5"/>
    <w:rsid w:val="00AB56A3"/>
    <w:rsid w:val="00B622CE"/>
    <w:rsid w:val="00B67C50"/>
    <w:rsid w:val="00B85546"/>
    <w:rsid w:val="00C20F42"/>
    <w:rsid w:val="00C91512"/>
    <w:rsid w:val="00CF5F03"/>
    <w:rsid w:val="00D151A5"/>
    <w:rsid w:val="00DC248D"/>
    <w:rsid w:val="00DE26D8"/>
    <w:rsid w:val="00DF736C"/>
    <w:rsid w:val="00E00EE6"/>
    <w:rsid w:val="00E17EB3"/>
    <w:rsid w:val="00E345FC"/>
    <w:rsid w:val="00EA75A6"/>
    <w:rsid w:val="00EA7D34"/>
    <w:rsid w:val="00EB428F"/>
    <w:rsid w:val="00F147AC"/>
    <w:rsid w:val="00F90B78"/>
    <w:rsid w:val="15DE019F"/>
    <w:rsid w:val="2C3C1E72"/>
    <w:rsid w:val="4DA82CB0"/>
    <w:rsid w:val="5E0370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5F03"/>
    <w:pPr>
      <w:widowControl w:val="0"/>
      <w:spacing w:line="360" w:lineRule="auto"/>
      <w:ind w:firstLineChars="200" w:firstLine="200"/>
    </w:pPr>
    <w:rPr>
      <w:rFonts w:eastAsiaTheme="minorEastAsia"/>
      <w:kern w:val="2"/>
      <w:sz w:val="24"/>
      <w:szCs w:val="32"/>
    </w:rPr>
  </w:style>
  <w:style w:type="paragraph" w:styleId="2">
    <w:name w:val="heading 2"/>
    <w:basedOn w:val="a"/>
    <w:next w:val="a"/>
    <w:link w:val="2Char"/>
    <w:uiPriority w:val="9"/>
    <w:unhideWhenUsed/>
    <w:qFormat/>
    <w:rsid w:val="00CF5F03"/>
    <w:pPr>
      <w:keepNext/>
      <w:keepLines/>
      <w:ind w:firstLineChars="0" w:firstLine="0"/>
      <w:outlineLvl w:val="1"/>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CF5F03"/>
    <w:rPr>
      <w:rFonts w:ascii="宋体" w:hAnsi="Courier New"/>
      <w:szCs w:val="20"/>
    </w:rPr>
  </w:style>
  <w:style w:type="paragraph" w:styleId="a4">
    <w:name w:val="Document Map"/>
    <w:basedOn w:val="a"/>
    <w:link w:val="Char"/>
    <w:uiPriority w:val="99"/>
    <w:semiHidden/>
    <w:unhideWhenUsed/>
    <w:qFormat/>
    <w:rsid w:val="00CF5F03"/>
    <w:pPr>
      <w:widowControl/>
      <w:adjustRightInd w:val="0"/>
      <w:snapToGrid w:val="0"/>
      <w:spacing w:after="200" w:line="240" w:lineRule="auto"/>
      <w:ind w:firstLineChars="0" w:firstLine="0"/>
    </w:pPr>
    <w:rPr>
      <w:rFonts w:ascii="宋体" w:eastAsia="宋体" w:hAnsi="Tahoma"/>
      <w:kern w:val="0"/>
      <w:sz w:val="18"/>
      <w:szCs w:val="18"/>
    </w:rPr>
  </w:style>
  <w:style w:type="paragraph" w:styleId="a5">
    <w:name w:val="footer"/>
    <w:basedOn w:val="a"/>
    <w:link w:val="Char0"/>
    <w:uiPriority w:val="99"/>
    <w:unhideWhenUsed/>
    <w:qFormat/>
    <w:rsid w:val="00CF5F03"/>
    <w:pPr>
      <w:tabs>
        <w:tab w:val="center" w:pos="4153"/>
        <w:tab w:val="right" w:pos="8306"/>
      </w:tabs>
      <w:snapToGrid w:val="0"/>
      <w:spacing w:line="240" w:lineRule="auto"/>
      <w:ind w:firstLineChars="0" w:firstLine="0"/>
    </w:pPr>
    <w:rPr>
      <w:rFonts w:asciiTheme="minorHAnsi" w:hAnsiTheme="minorHAnsi" w:cstheme="minorBidi"/>
      <w:sz w:val="18"/>
      <w:szCs w:val="18"/>
    </w:rPr>
  </w:style>
  <w:style w:type="paragraph" w:styleId="a6">
    <w:name w:val="header"/>
    <w:basedOn w:val="a"/>
    <w:link w:val="Char1"/>
    <w:unhideWhenUsed/>
    <w:qFormat/>
    <w:rsid w:val="00CF5F03"/>
    <w:pPr>
      <w:pBdr>
        <w:bottom w:val="single" w:sz="6" w:space="1" w:color="auto"/>
      </w:pBdr>
      <w:tabs>
        <w:tab w:val="center" w:pos="4153"/>
        <w:tab w:val="right" w:pos="8306"/>
      </w:tabs>
      <w:snapToGrid w:val="0"/>
      <w:spacing w:line="240" w:lineRule="auto"/>
      <w:ind w:firstLineChars="0" w:firstLine="0"/>
      <w:jc w:val="center"/>
    </w:pPr>
    <w:rPr>
      <w:rFonts w:asciiTheme="minorHAnsi" w:hAnsiTheme="minorHAnsi" w:cstheme="minorBidi"/>
      <w:sz w:val="18"/>
      <w:szCs w:val="18"/>
    </w:rPr>
  </w:style>
  <w:style w:type="paragraph" w:styleId="a7">
    <w:name w:val="Title"/>
    <w:basedOn w:val="a"/>
    <w:next w:val="a"/>
    <w:link w:val="Char10"/>
    <w:qFormat/>
    <w:rsid w:val="00CF5F03"/>
    <w:pPr>
      <w:ind w:firstLineChars="0" w:firstLine="0"/>
      <w:jc w:val="center"/>
    </w:pPr>
    <w:rPr>
      <w:rFonts w:ascii="方正小标宋简体" w:eastAsia="方正小标宋简体" w:cstheme="minorBidi"/>
      <w:sz w:val="36"/>
      <w:szCs w:val="36"/>
    </w:rPr>
  </w:style>
  <w:style w:type="table" w:styleId="a8">
    <w:name w:val="Table Grid"/>
    <w:basedOn w:val="a2"/>
    <w:uiPriority w:val="59"/>
    <w:rsid w:val="00CF5F0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sid w:val="00CF5F03"/>
    <w:rPr>
      <w:sz w:val="18"/>
      <w:szCs w:val="18"/>
    </w:rPr>
  </w:style>
  <w:style w:type="character" w:customStyle="1" w:styleId="Char0">
    <w:name w:val="页脚 Char"/>
    <w:basedOn w:val="a1"/>
    <w:link w:val="a5"/>
    <w:uiPriority w:val="99"/>
    <w:semiHidden/>
    <w:qFormat/>
    <w:rsid w:val="00CF5F03"/>
    <w:rPr>
      <w:sz w:val="18"/>
      <w:szCs w:val="18"/>
    </w:rPr>
  </w:style>
  <w:style w:type="character" w:customStyle="1" w:styleId="2Char">
    <w:name w:val="标题 2 Char"/>
    <w:basedOn w:val="a1"/>
    <w:link w:val="2"/>
    <w:uiPriority w:val="9"/>
    <w:qFormat/>
    <w:rsid w:val="00CF5F03"/>
    <w:rPr>
      <w:rFonts w:asciiTheme="majorHAnsi" w:eastAsiaTheme="majorEastAsia" w:hAnsiTheme="majorHAnsi" w:cstheme="majorBidi"/>
      <w:b/>
      <w:bCs/>
      <w:sz w:val="24"/>
      <w:szCs w:val="32"/>
    </w:rPr>
  </w:style>
  <w:style w:type="character" w:customStyle="1" w:styleId="Char2">
    <w:name w:val="标题 Char"/>
    <w:basedOn w:val="a1"/>
    <w:link w:val="a7"/>
    <w:uiPriority w:val="10"/>
    <w:qFormat/>
    <w:rsid w:val="00CF5F03"/>
    <w:rPr>
      <w:rFonts w:asciiTheme="majorHAnsi" w:eastAsia="宋体" w:hAnsiTheme="majorHAnsi" w:cstheme="majorBidi"/>
      <w:b/>
      <w:bCs/>
      <w:sz w:val="32"/>
      <w:szCs w:val="32"/>
    </w:rPr>
  </w:style>
  <w:style w:type="character" w:customStyle="1" w:styleId="Char10">
    <w:name w:val="标题 Char1"/>
    <w:basedOn w:val="a1"/>
    <w:link w:val="a7"/>
    <w:qFormat/>
    <w:rsid w:val="00CF5F03"/>
    <w:rPr>
      <w:rFonts w:ascii="方正小标宋简体" w:eastAsia="方正小标宋简体" w:hAnsi="Times New Roman"/>
      <w:sz w:val="36"/>
      <w:szCs w:val="36"/>
    </w:rPr>
  </w:style>
  <w:style w:type="character" w:customStyle="1" w:styleId="Char">
    <w:name w:val="文档结构图 Char"/>
    <w:basedOn w:val="a1"/>
    <w:link w:val="a4"/>
    <w:uiPriority w:val="99"/>
    <w:semiHidden/>
    <w:qFormat/>
    <w:rsid w:val="00CF5F03"/>
    <w:rPr>
      <w:rFonts w:ascii="宋体" w:hAnsi="Tahoma"/>
      <w:sz w:val="18"/>
      <w:szCs w:val="18"/>
    </w:rPr>
  </w:style>
  <w:style w:type="paragraph" w:customStyle="1" w:styleId="1">
    <w:name w:val="普通(网站)1"/>
    <w:basedOn w:val="a"/>
    <w:qFormat/>
    <w:rsid w:val="00CF5F03"/>
    <w:pPr>
      <w:widowControl/>
      <w:spacing w:before="100" w:beforeAutospacing="1" w:after="100" w:afterAutospacing="1" w:line="240" w:lineRule="auto"/>
      <w:ind w:firstLineChars="0" w:firstLine="0"/>
    </w:pPr>
    <w:rPr>
      <w:rFonts w:ascii="宋体" w:eastAsia="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123485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91405-35D0-4463-9224-C5578D79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jitao</cp:lastModifiedBy>
  <cp:revision>33</cp:revision>
  <dcterms:created xsi:type="dcterms:W3CDTF">2018-06-22T13:08:00Z</dcterms:created>
  <dcterms:modified xsi:type="dcterms:W3CDTF">2018-08-24T03:15:00Z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